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4C392D7C" w:rsidR="00135BB4" w:rsidRPr="00420540" w:rsidRDefault="00420540" w:rsidP="00135BB4">
      <w:pPr>
        <w:pStyle w:val="CH"/>
      </w:pPr>
      <w:bookmarkStart w:id="0" w:name="historyclause"/>
      <w:r>
        <w:t>3GPP TSG-RAN WG4 Meeting #110bis</w:t>
      </w:r>
      <w:r w:rsidR="00D309CC" w:rsidRPr="004266F6">
        <w:tab/>
      </w:r>
      <w:r w:rsidR="002A0AFF">
        <w:t xml:space="preserve">        </w:t>
      </w:r>
      <w:r w:rsidR="00527012">
        <w:t xml:space="preserve">     </w:t>
      </w:r>
      <w:r w:rsidR="0028318B">
        <w:t xml:space="preserve">    </w:t>
      </w:r>
      <w:r w:rsidR="001B5F1B">
        <w:t xml:space="preserve">  </w:t>
      </w:r>
      <w:r w:rsidR="00991009">
        <w:t xml:space="preserve">    </w:t>
      </w:r>
      <w:r w:rsidR="001B5F1B">
        <w:t xml:space="preserve"> </w:t>
      </w:r>
      <w:r w:rsidR="00C76963">
        <w:t xml:space="preserve">    </w:t>
      </w:r>
      <w:r w:rsidR="001B5F1B">
        <w:t xml:space="preserve">    </w:t>
      </w:r>
      <w:r w:rsidR="00991009">
        <w:t>R4-2404190</w:t>
      </w:r>
    </w:p>
    <w:p w14:paraId="5B71158F" w14:textId="04024B6E" w:rsidR="00D309CC" w:rsidRPr="004266F6" w:rsidRDefault="00D309CC" w:rsidP="00D46431">
      <w:pPr>
        <w:pStyle w:val="CH"/>
      </w:pPr>
    </w:p>
    <w:p w14:paraId="1C54FDC5" w14:textId="5DB748B9" w:rsidR="00D309CC" w:rsidRPr="00FD166F" w:rsidRDefault="00420540" w:rsidP="00420540">
      <w:pPr>
        <w:pStyle w:val="CH"/>
        <w:tabs>
          <w:tab w:val="clear" w:pos="7920"/>
        </w:tabs>
        <w:rPr>
          <w:b w:val="0"/>
        </w:rPr>
      </w:pPr>
      <w:r>
        <w:t xml:space="preserve">Changsha, China, 15th – 19th </w:t>
      </w:r>
      <w:proofErr w:type="gramStart"/>
      <w:r>
        <w:t>April,</w:t>
      </w:r>
      <w:proofErr w:type="gramEnd"/>
      <w:r>
        <w:t xml:space="preserve"> 2024</w:t>
      </w:r>
      <w:r w:rsidR="00D46431">
        <w:tab/>
      </w:r>
    </w:p>
    <w:p w14:paraId="03983AD9" w14:textId="77777777" w:rsidR="00D309CC" w:rsidRDefault="00D309CC" w:rsidP="00D309CC">
      <w:pPr>
        <w:tabs>
          <w:tab w:val="left" w:pos="2160"/>
        </w:tabs>
        <w:rPr>
          <w:rFonts w:ascii="Arial" w:hAnsi="Arial" w:cs="Arial"/>
          <w:b/>
        </w:rPr>
      </w:pPr>
    </w:p>
    <w:p w14:paraId="021646DD" w14:textId="280CB997" w:rsidR="00DB2F35" w:rsidRPr="00DB2F35" w:rsidRDefault="00D309CC" w:rsidP="00DB2F35">
      <w:pPr>
        <w:pStyle w:val="CH"/>
        <w:spacing w:after="180"/>
      </w:pPr>
      <w:r w:rsidRPr="004266F6">
        <w:t>Agenda item:</w:t>
      </w:r>
      <w:r w:rsidRPr="004266F6">
        <w:tab/>
      </w:r>
      <w:r w:rsidR="00991009">
        <w:t>6.9.2</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00D11FF7" w14:textId="159F2D4F" w:rsidR="0081080F" w:rsidRDefault="00D309CC" w:rsidP="00DB2F35">
      <w:pPr>
        <w:pStyle w:val="CH"/>
        <w:spacing w:after="180"/>
        <w:rPr>
          <w:lang w:val="en-US"/>
        </w:rPr>
      </w:pPr>
      <w:r w:rsidRPr="004266F6">
        <w:t>Title:</w:t>
      </w:r>
      <w:r w:rsidR="007B5C8F">
        <w:t xml:space="preserve">       </w:t>
      </w:r>
      <w:r w:rsidR="00991009" w:rsidRPr="00991009">
        <w:rPr>
          <w:lang w:val="en-US"/>
        </w:rPr>
        <w:t>Inputs to Rel-18 FR1 TRP TRS Performance Phase</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4699C0F6" w:rsidR="00AF4320" w:rsidRDefault="00926831" w:rsidP="009A4A3B">
      <w:r>
        <w:t xml:space="preserve">The purpose of this paper is to </w:t>
      </w:r>
      <w:r w:rsidR="00575E12">
        <w:t>present some proposals to</w:t>
      </w:r>
      <w:r w:rsidR="0081080F">
        <w:t xml:space="preserve">wards the </w:t>
      </w:r>
      <w:r w:rsidR="00C76963">
        <w:t xml:space="preserve">Release 18 FR1 TRP TRS </w:t>
      </w:r>
      <w:r w:rsidR="0081080F">
        <w:t xml:space="preserve">performance requirement phase discussions that </w:t>
      </w:r>
      <w:r w:rsidR="004967DE">
        <w:t>are</w:t>
      </w:r>
      <w:r w:rsidR="0081080F">
        <w:t xml:space="preserve"> planned to be a key aspect of this work item at RAN4#</w:t>
      </w:r>
      <w:r w:rsidR="00991009">
        <w:t>110-bis</w:t>
      </w:r>
      <w:r w:rsidR="0081080F">
        <w:t xml:space="preserve">. The scope of the proposals </w:t>
      </w:r>
      <w:r w:rsidR="00C76963">
        <w:t xml:space="preserve">includes </w:t>
      </w:r>
      <w:r w:rsidR="00991009">
        <w:t>address</w:t>
      </w:r>
      <w:r w:rsidR="00C76963">
        <w:t>ing</w:t>
      </w:r>
      <w:r w:rsidR="00991009">
        <w:t xml:space="preserve"> some of the open items for discussion as highlighted in [1]. This includes </w:t>
      </w:r>
      <w:r w:rsidR="00C76963">
        <w:t xml:space="preserve">evaluation of </w:t>
      </w:r>
      <w:r w:rsidR="00991009">
        <w:t xml:space="preserve">the incoming RAN5 LS containing requests pertaining to the Rel18 core requirements package, handling scaling of requirements for additional channel bandwidths defined in the WF in [] </w:t>
      </w:r>
      <w:r w:rsidR="0081080F">
        <w:t xml:space="preserve">as well as considerations related to </w:t>
      </w:r>
      <w:r w:rsidR="004967DE">
        <w:t>JBPR</w:t>
      </w:r>
      <w:r w:rsidR="00991009">
        <w:t xml:space="preserve"> and derivation of power class requirements from defined requirements (PC2/PC3).</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2E0A8ED2" w14:textId="0CDCA318" w:rsidR="00733D9A" w:rsidRDefault="00733D9A" w:rsidP="00733D9A">
      <w:pPr>
        <w:pStyle w:val="Heading2"/>
        <w:rPr>
          <w:rFonts w:eastAsia="MS Mincho"/>
        </w:rPr>
      </w:pPr>
      <w:r w:rsidRPr="00442FDC">
        <w:rPr>
          <w:rFonts w:eastAsia="MS Mincho" w:hint="eastAsia"/>
        </w:rPr>
        <w:t>2.</w:t>
      </w:r>
      <w:r w:rsidR="00991009">
        <w:rPr>
          <w:rFonts w:eastAsia="MS Mincho"/>
        </w:rPr>
        <w:t>1</w:t>
      </w:r>
      <w:r w:rsidRPr="00442FDC">
        <w:rPr>
          <w:rFonts w:eastAsia="MS Mincho" w:hint="eastAsia"/>
        </w:rPr>
        <w:t xml:space="preserve"> </w:t>
      </w:r>
      <w:r>
        <w:rPr>
          <w:rFonts w:eastAsia="MS Mincho"/>
        </w:rPr>
        <w:t xml:space="preserve">    </w:t>
      </w:r>
      <w:r w:rsidR="00991009">
        <w:rPr>
          <w:rFonts w:eastAsia="MS Mincho"/>
        </w:rPr>
        <w:t>Requirements for alternate channel bandwidths for</w:t>
      </w:r>
      <w:r>
        <w:rPr>
          <w:rFonts w:eastAsia="MS Mincho"/>
        </w:rPr>
        <w:t xml:space="preserve"> </w:t>
      </w:r>
      <w:r w:rsidR="00991009" w:rsidRPr="00991009">
        <w:rPr>
          <w:rFonts w:eastAsia="MS Mincho"/>
          <w:lang w:val="en-US"/>
        </w:rPr>
        <w:t>n28/n41/n77/n78</w:t>
      </w:r>
    </w:p>
    <w:p w14:paraId="3C78517D" w14:textId="7D303C59" w:rsidR="00175A64" w:rsidRDefault="00175A64" w:rsidP="00926831">
      <w:r>
        <w:t>The first open sub-topic for this section was related to how to depict the requirements in the specification.</w:t>
      </w:r>
    </w:p>
    <w:p w14:paraId="07233936" w14:textId="6E89A042" w:rsidR="00175A64" w:rsidRDefault="00175A64" w:rsidP="00175A64">
      <w:pPr>
        <w:jc w:val="center"/>
      </w:pPr>
      <w:r w:rsidRPr="00175A64">
        <w:drawing>
          <wp:inline distT="0" distB="0" distL="0" distR="0" wp14:anchorId="30D5F4AC" wp14:editId="65A5810A">
            <wp:extent cx="4330352" cy="1163782"/>
            <wp:effectExtent l="0" t="0" r="635" b="5080"/>
            <wp:docPr id="1656872289" name="Picture 1" descr="A close-up of a list of requirem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72289" name="Picture 1" descr="A close-up of a list of requirements&#10;&#10;Description automatically generated"/>
                    <pic:cNvPicPr/>
                  </pic:nvPicPr>
                  <pic:blipFill>
                    <a:blip r:embed="rId9"/>
                    <a:stretch>
                      <a:fillRect/>
                    </a:stretch>
                  </pic:blipFill>
                  <pic:spPr>
                    <a:xfrm>
                      <a:off x="0" y="0"/>
                      <a:ext cx="4357440" cy="1171062"/>
                    </a:xfrm>
                    <a:prstGeom prst="rect">
                      <a:avLst/>
                    </a:prstGeom>
                  </pic:spPr>
                </pic:pic>
              </a:graphicData>
            </a:graphic>
          </wp:inline>
        </w:drawing>
      </w:r>
    </w:p>
    <w:p w14:paraId="60F279F1" w14:textId="77777777" w:rsidR="00175A64" w:rsidRDefault="00175A64" w:rsidP="00926831"/>
    <w:p w14:paraId="3020D2FF" w14:textId="6130D8F2" w:rsidR="00175A64" w:rsidRDefault="00175A64" w:rsidP="00926831">
      <w:r>
        <w:t xml:space="preserve">There is already agreement in [1] that, based on the traditional certification process of OTA requirements, passing a single CBW requirement per band on each UE should suffice. </w:t>
      </w:r>
      <w:proofErr w:type="gramStart"/>
      <w:r>
        <w:t>Therefore</w:t>
      </w:r>
      <w:proofErr w:type="gramEnd"/>
      <w:r>
        <w:t xml:space="preserve"> the requirements should be specified in a way that the baseline (existing channel bandwidth setting) requirement should be primarily specified and an appropriate NOTE with the scaling factor and additional considerations (see proposal 2,3) that are needed to derive the requirements</w:t>
      </w:r>
      <w:r w:rsidR="009D68FA">
        <w:t xml:space="preserve"> is added.</w:t>
      </w:r>
    </w:p>
    <w:p w14:paraId="3327AAFD" w14:textId="4F2CFD2B" w:rsidR="00175A64" w:rsidRDefault="00175A64" w:rsidP="00926831"/>
    <w:p w14:paraId="761019FD" w14:textId="46B8EAC7" w:rsidR="00175A64" w:rsidRPr="00175A64" w:rsidRDefault="00175A64" w:rsidP="00926831">
      <w:pPr>
        <w:rPr>
          <w:b/>
          <w:bCs/>
        </w:rPr>
      </w:pPr>
      <w:r w:rsidRPr="00175A64">
        <w:rPr>
          <w:b/>
          <w:bCs/>
        </w:rPr>
        <w:t xml:space="preserve">Proposal 1: </w:t>
      </w:r>
      <w:r>
        <w:rPr>
          <w:b/>
          <w:bCs/>
        </w:rPr>
        <w:t>A</w:t>
      </w:r>
      <w:r w:rsidRPr="00175A64">
        <w:rPr>
          <w:b/>
          <w:bCs/>
        </w:rPr>
        <w:t>lign with Option 1 from RAN4#110 WF [1]</w:t>
      </w:r>
      <w:r>
        <w:rPr>
          <w:b/>
          <w:bCs/>
        </w:rPr>
        <w:t xml:space="preserve"> with further clarifications as needed</w:t>
      </w:r>
      <w:r w:rsidRPr="00175A64">
        <w:rPr>
          <w:b/>
          <w:bCs/>
        </w:rPr>
        <w:t>. The core specification should primarily list the baseline requirement based on the channel bandwidth for which performance campaign has been carried out. A specific NOTE indicating derivation/scaling of the requirement for additional channel bandwidths can be listed.</w:t>
      </w:r>
    </w:p>
    <w:p w14:paraId="644AC7B1" w14:textId="77777777" w:rsidR="00175A64" w:rsidRDefault="00175A64" w:rsidP="00926831"/>
    <w:p w14:paraId="40DEEC1B" w14:textId="77777777" w:rsidR="00175A64" w:rsidRDefault="00175A64" w:rsidP="00926831"/>
    <w:p w14:paraId="32DFAF03" w14:textId="2D0C927C" w:rsidR="0021718E" w:rsidRDefault="00991009" w:rsidP="00926831">
      <w:r>
        <w:lastRenderedPageBreak/>
        <w:t xml:space="preserve">The way forward at RAN4#110 for creation of requirements for alternate channel </w:t>
      </w:r>
      <w:r w:rsidR="00175A64">
        <w:t xml:space="preserve">also contained </w:t>
      </w:r>
      <w:r>
        <w:t xml:space="preserve">guidance that the requirements for such additional CBW will be defined based on scaling of current OTA requirements at that band. </w:t>
      </w:r>
    </w:p>
    <w:p w14:paraId="231151A7" w14:textId="77777777" w:rsidR="00991009" w:rsidRDefault="00991009" w:rsidP="00926831"/>
    <w:p w14:paraId="5332B7D1" w14:textId="27F6B539" w:rsidR="00991009" w:rsidRDefault="00991009" w:rsidP="00926831">
      <w:r w:rsidRPr="00991009">
        <w:rPr>
          <w:noProof/>
        </w:rPr>
        <w:drawing>
          <wp:inline distT="0" distB="0" distL="0" distR="0" wp14:anchorId="3E930DB8" wp14:editId="2A8226A9">
            <wp:extent cx="6070600" cy="1282700"/>
            <wp:effectExtent l="0" t="0" r="0" b="0"/>
            <wp:docPr id="150294201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942011" name="Picture 1" descr="A close-up of a text&#10;&#10;Description automatically generated"/>
                    <pic:cNvPicPr/>
                  </pic:nvPicPr>
                  <pic:blipFill>
                    <a:blip r:embed="rId10"/>
                    <a:stretch>
                      <a:fillRect/>
                    </a:stretch>
                  </pic:blipFill>
                  <pic:spPr>
                    <a:xfrm>
                      <a:off x="0" y="0"/>
                      <a:ext cx="6070600" cy="1282700"/>
                    </a:xfrm>
                    <a:prstGeom prst="rect">
                      <a:avLst/>
                    </a:prstGeom>
                  </pic:spPr>
                </pic:pic>
              </a:graphicData>
            </a:graphic>
          </wp:inline>
        </w:drawing>
      </w:r>
    </w:p>
    <w:p w14:paraId="6A83C0C4" w14:textId="77777777" w:rsidR="00991009" w:rsidRDefault="00991009" w:rsidP="00926831"/>
    <w:p w14:paraId="4E5F0C88" w14:textId="56EC964D" w:rsidR="00991009" w:rsidRDefault="00991009" w:rsidP="00926831">
      <w:r>
        <w:t>However, it was also noted that some measurement results will be required to confirm the scaling based on REFSENS RB as well as whether other factors needed to be considered.</w:t>
      </w:r>
    </w:p>
    <w:p w14:paraId="6598C17A" w14:textId="77777777" w:rsidR="00991009" w:rsidRDefault="00991009" w:rsidP="00926831"/>
    <w:p w14:paraId="1EE0994F" w14:textId="590DEC81" w:rsidR="00991009" w:rsidRDefault="00991009" w:rsidP="00926831">
      <w:r>
        <w:t>The scaling factor is a useful</w:t>
      </w:r>
      <w:r w:rsidR="00C76963">
        <w:t xml:space="preserve">, </w:t>
      </w:r>
      <w:r>
        <w:t xml:space="preserve">feasible approach </w:t>
      </w:r>
      <w:r w:rsidR="00C76963">
        <w:t>(as already agreed by RAN4)</w:t>
      </w:r>
      <w:r>
        <w:t xml:space="preserve"> considering the complexities and logistics involved in a full-scale performance </w:t>
      </w:r>
      <w:r w:rsidR="00C76963">
        <w:t>campaign</w:t>
      </w:r>
      <w:r>
        <w:t xml:space="preserve"> for the additional bandwidths. However, some factors that would</w:t>
      </w:r>
      <w:r w:rsidR="009D68FA">
        <w:t xml:space="preserve"> have otherwise</w:t>
      </w:r>
      <w:r>
        <w:t xml:space="preserve"> implicitly </w:t>
      </w:r>
      <w:r w:rsidR="00C76963">
        <w:t>get</w:t>
      </w:r>
      <w:r>
        <w:t xml:space="preserve"> accounted in a performance </w:t>
      </w:r>
      <w:proofErr w:type="gramStart"/>
      <w:r>
        <w:t>campaign</w:t>
      </w:r>
      <w:r w:rsidR="009D68FA">
        <w:t xml:space="preserve">, </w:t>
      </w:r>
      <w:r>
        <w:t xml:space="preserve"> would</w:t>
      </w:r>
      <w:proofErr w:type="gramEnd"/>
      <w:r w:rsidR="009D68FA">
        <w:t xml:space="preserve"> now</w:t>
      </w:r>
      <w:r>
        <w:t xml:space="preserve"> need to be specifically called out. We would like to present </w:t>
      </w:r>
      <w:r w:rsidR="00C76963">
        <w:t>such</w:t>
      </w:r>
      <w:r>
        <w:t xml:space="preserve"> additional factors need to be considered in this analysis –</w:t>
      </w:r>
    </w:p>
    <w:p w14:paraId="790C1AE9" w14:textId="77777777" w:rsidR="00991009" w:rsidRDefault="00991009" w:rsidP="00926831"/>
    <w:p w14:paraId="2698612D" w14:textId="19E35DEF" w:rsidR="00991009" w:rsidRPr="00991009" w:rsidRDefault="00991009" w:rsidP="00991009">
      <w:pPr>
        <w:pStyle w:val="ListParagraph"/>
        <w:numPr>
          <w:ilvl w:val="0"/>
          <w:numId w:val="41"/>
        </w:numPr>
        <w:spacing w:before="120" w:after="120"/>
        <w:ind w:leftChars="0"/>
        <w:rPr>
          <w:sz w:val="24"/>
          <w:szCs w:val="24"/>
          <w:lang w:eastAsia="en-US"/>
        </w:rPr>
      </w:pPr>
      <w:r w:rsidRPr="00991009">
        <w:rPr>
          <w:sz w:val="24"/>
          <w:szCs w:val="24"/>
          <w:lang w:eastAsia="en-US"/>
        </w:rPr>
        <w:t>[8] establishes clearly the variation of antenna gain with frequency. The factor is established across cellular frequencies and is depicted in the figure from the citation which is included below. Therefore, while</w:t>
      </w:r>
      <w:r>
        <w:rPr>
          <w:sz w:val="24"/>
          <w:szCs w:val="24"/>
          <w:lang w:eastAsia="en-US"/>
        </w:rPr>
        <w:t xml:space="preserve"> scaling of the requirement approaches the required value</w:t>
      </w:r>
      <w:r w:rsidR="00C76963">
        <w:rPr>
          <w:sz w:val="24"/>
          <w:szCs w:val="24"/>
          <w:lang w:eastAsia="en-US"/>
        </w:rPr>
        <w:t>,</w:t>
      </w:r>
      <w:r>
        <w:rPr>
          <w:sz w:val="24"/>
          <w:szCs w:val="24"/>
          <w:lang w:eastAsia="en-US"/>
        </w:rPr>
        <w:t xml:space="preserve"> some allowance for this </w:t>
      </w:r>
      <w:r w:rsidR="001B3775">
        <w:rPr>
          <w:sz w:val="24"/>
          <w:szCs w:val="24"/>
          <w:lang w:eastAsia="en-US"/>
        </w:rPr>
        <w:t xml:space="preserve">variation </w:t>
      </w:r>
      <w:r>
        <w:rPr>
          <w:sz w:val="24"/>
          <w:szCs w:val="24"/>
          <w:lang w:eastAsia="en-US"/>
        </w:rPr>
        <w:t>factor is required to be considered.</w:t>
      </w:r>
    </w:p>
    <w:p w14:paraId="01446A1B" w14:textId="6262D5FC" w:rsidR="00991009" w:rsidRPr="00991009" w:rsidRDefault="00991009" w:rsidP="00991009">
      <w:pPr>
        <w:spacing w:before="120" w:after="120"/>
        <w:jc w:val="center"/>
        <w:rPr>
          <w:rFonts w:ascii="Arial" w:hAnsi="Arial" w:cs="Arial"/>
          <w:b/>
          <w:bCs/>
          <w:sz w:val="20"/>
          <w:szCs w:val="20"/>
        </w:rPr>
      </w:pPr>
      <w:r w:rsidRPr="00991009">
        <w:rPr>
          <w:rFonts w:ascii="Arial" w:hAnsi="Arial" w:cs="Arial"/>
          <w:b/>
          <w:bCs/>
          <w:sz w:val="20"/>
          <w:szCs w:val="20"/>
        </w:rPr>
        <w:t>Figure 1 – Antenna gain and efficiency variation with frequency</w:t>
      </w:r>
      <w:r>
        <w:rPr>
          <w:rFonts w:ascii="Arial" w:hAnsi="Arial" w:cs="Arial"/>
          <w:b/>
          <w:bCs/>
          <w:sz w:val="20"/>
          <w:szCs w:val="20"/>
        </w:rPr>
        <w:t xml:space="preserve"> [8]</w:t>
      </w:r>
    </w:p>
    <w:p w14:paraId="0EA5760F" w14:textId="5FED1247" w:rsidR="00991009" w:rsidRDefault="00991009" w:rsidP="00991009">
      <w:pPr>
        <w:spacing w:before="120" w:after="120"/>
        <w:jc w:val="center"/>
      </w:pPr>
      <w:r w:rsidRPr="00991009">
        <w:rPr>
          <w:noProof/>
        </w:rPr>
        <w:drawing>
          <wp:inline distT="0" distB="0" distL="0" distR="0" wp14:anchorId="24E309E2" wp14:editId="320A57D9">
            <wp:extent cx="3187700" cy="2527300"/>
            <wp:effectExtent l="0" t="0" r="0" b="0"/>
            <wp:docPr id="1369491125" name="Picture 1" descr="A graph of a graph showing a number of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491125" name="Picture 1" descr="A graph of a graph showing a number of frequency&#10;&#10;Description automatically generated with medium confidence"/>
                    <pic:cNvPicPr/>
                  </pic:nvPicPr>
                  <pic:blipFill>
                    <a:blip r:embed="rId11"/>
                    <a:stretch>
                      <a:fillRect/>
                    </a:stretch>
                  </pic:blipFill>
                  <pic:spPr>
                    <a:xfrm>
                      <a:off x="0" y="0"/>
                      <a:ext cx="3187700" cy="2527300"/>
                    </a:xfrm>
                    <a:prstGeom prst="rect">
                      <a:avLst/>
                    </a:prstGeom>
                  </pic:spPr>
                </pic:pic>
              </a:graphicData>
            </a:graphic>
          </wp:inline>
        </w:drawing>
      </w:r>
    </w:p>
    <w:p w14:paraId="6FFD607A" w14:textId="66A0D0AD" w:rsidR="00991009" w:rsidRDefault="00991009" w:rsidP="00991009">
      <w:pPr>
        <w:pStyle w:val="Heading2"/>
        <w:numPr>
          <w:ilvl w:val="0"/>
          <w:numId w:val="41"/>
        </w:numPr>
        <w:rPr>
          <w:rFonts w:ascii="Times New Roman" w:hAnsi="Times New Roman"/>
          <w:sz w:val="24"/>
          <w:szCs w:val="24"/>
          <w:lang w:val="en-US"/>
        </w:rPr>
      </w:pPr>
      <w:r>
        <w:rPr>
          <w:rFonts w:ascii="Times New Roman" w:hAnsi="Times New Roman"/>
          <w:sz w:val="24"/>
          <w:szCs w:val="24"/>
          <w:lang w:val="en-US"/>
        </w:rPr>
        <w:t>The specific modulation schemes, coding efficiency and other system parameters would also play a role is the actual expected reference sensitivity performance.</w:t>
      </w:r>
    </w:p>
    <w:p w14:paraId="0C40D426" w14:textId="28D2E86B" w:rsidR="00991009" w:rsidRDefault="00991009" w:rsidP="00991009">
      <w:pPr>
        <w:spacing w:before="120" w:after="120"/>
        <w:rPr>
          <w:rFonts w:eastAsia="MS Mincho"/>
        </w:rPr>
      </w:pPr>
      <w:r>
        <w:rPr>
          <w:rFonts w:eastAsia="MS Mincho"/>
        </w:rPr>
        <w:t xml:space="preserve">Therefore, a detailed system-level measurement </w:t>
      </w:r>
      <w:r w:rsidR="00C76963">
        <w:rPr>
          <w:rFonts w:eastAsia="MS Mincho"/>
        </w:rPr>
        <w:t>OR</w:t>
      </w:r>
      <w:r>
        <w:rPr>
          <w:rFonts w:eastAsia="MS Mincho"/>
        </w:rPr>
        <w:t xml:space="preserve"> an empirical measurement approach, taking into account the full details of signal processing is needed as a linear adjustment purely based on RB scaling may not be needed. Between these two options,</w:t>
      </w:r>
      <w:r w:rsidR="00C76963">
        <w:rPr>
          <w:rFonts w:eastAsia="MS Mincho"/>
        </w:rPr>
        <w:t xml:space="preserve"> as already discussed and agreed by </w:t>
      </w:r>
      <w:r w:rsidR="00C76963">
        <w:rPr>
          <w:rFonts w:eastAsia="MS Mincho"/>
        </w:rPr>
        <w:lastRenderedPageBreak/>
        <w:t>RAN4 at RAN4#110 [1],</w:t>
      </w:r>
      <w:r>
        <w:rPr>
          <w:rFonts w:eastAsia="MS Mincho"/>
        </w:rPr>
        <w:t xml:space="preserve"> the </w:t>
      </w:r>
      <w:r w:rsidRPr="00DA3ECE">
        <w:rPr>
          <w:rFonts w:eastAsia="MS Mincho"/>
          <w:b/>
          <w:bCs/>
        </w:rPr>
        <w:t>empirical measurement approach</w:t>
      </w:r>
      <w:r>
        <w:rPr>
          <w:rFonts w:eastAsia="MS Mincho"/>
        </w:rPr>
        <w:t xml:space="preserve"> is suitable considering the way forward agreed and general feasibility.</w:t>
      </w:r>
    </w:p>
    <w:p w14:paraId="503D2E55" w14:textId="07A2EDB1" w:rsidR="00991009" w:rsidRPr="00C76963" w:rsidRDefault="00991009" w:rsidP="00991009">
      <w:pPr>
        <w:spacing w:before="120" w:after="120"/>
        <w:rPr>
          <w:rFonts w:eastAsia="MS Mincho"/>
          <w:b/>
          <w:bCs/>
          <w:i/>
          <w:iCs/>
        </w:rPr>
      </w:pPr>
      <w:r w:rsidRPr="00C76963">
        <w:rPr>
          <w:rFonts w:eastAsia="MS Mincho"/>
          <w:b/>
          <w:bCs/>
          <w:i/>
          <w:iCs/>
        </w:rPr>
        <w:t>Observation</w:t>
      </w:r>
      <w:r w:rsidR="00C76963" w:rsidRPr="00C76963">
        <w:rPr>
          <w:rFonts w:eastAsia="MS Mincho"/>
          <w:b/>
          <w:bCs/>
          <w:i/>
          <w:iCs/>
        </w:rPr>
        <w:t xml:space="preserve"> 1:</w:t>
      </w:r>
      <w:r w:rsidRPr="00C76963">
        <w:rPr>
          <w:rFonts w:eastAsia="MS Mincho"/>
          <w:b/>
          <w:bCs/>
          <w:i/>
          <w:iCs/>
        </w:rPr>
        <w:t xml:space="preserve"> The requirement for the alternate channel bandwidth may not necessarily be a linear adjustment based purely on RB scaling and therefore </w:t>
      </w:r>
      <w:r w:rsidR="00DA3ECE">
        <w:rPr>
          <w:rFonts w:eastAsia="MS Mincho"/>
          <w:b/>
          <w:bCs/>
          <w:i/>
          <w:iCs/>
        </w:rPr>
        <w:t xml:space="preserve">the agreed </w:t>
      </w:r>
      <w:r w:rsidRPr="00C76963">
        <w:rPr>
          <w:rFonts w:eastAsia="MS Mincho"/>
          <w:b/>
          <w:bCs/>
          <w:i/>
          <w:iCs/>
        </w:rPr>
        <w:t>empirical measurement approach is critical to understand if additional allowance is required.</w:t>
      </w:r>
    </w:p>
    <w:p w14:paraId="11044C75" w14:textId="0D670FB7" w:rsidR="00991009" w:rsidRDefault="00991009" w:rsidP="00991009">
      <w:pPr>
        <w:spacing w:before="120" w:after="120"/>
        <w:rPr>
          <w:rFonts w:eastAsia="MS Mincho"/>
        </w:rPr>
      </w:pPr>
      <w:r>
        <w:rPr>
          <w:rFonts w:eastAsia="MS Mincho"/>
        </w:rPr>
        <w:t>Accordingly, 8</w:t>
      </w:r>
      <w:r w:rsidR="009D68FA">
        <w:rPr>
          <w:rFonts w:eastAsia="MS Mincho"/>
        </w:rPr>
        <w:t xml:space="preserve"> (eight)</w:t>
      </w:r>
      <w:r>
        <w:rPr>
          <w:rFonts w:eastAsia="MS Mincho"/>
        </w:rPr>
        <w:t xml:space="preserve"> commercially available devices (Wide Grip) were used for the empirical measurement approach. Each devices underwent measurement as follows:</w:t>
      </w:r>
    </w:p>
    <w:p w14:paraId="121D632E" w14:textId="4A19B5E1" w:rsidR="00991009" w:rsidRPr="001B3775" w:rsidRDefault="00991009" w:rsidP="00991009">
      <w:pPr>
        <w:pStyle w:val="ListParagraph"/>
        <w:numPr>
          <w:ilvl w:val="0"/>
          <w:numId w:val="42"/>
        </w:numPr>
        <w:spacing w:before="120" w:after="120"/>
        <w:ind w:leftChars="0"/>
        <w:rPr>
          <w:rFonts w:eastAsia="MS Mincho"/>
          <w:sz w:val="21"/>
          <w:szCs w:val="21"/>
        </w:rPr>
      </w:pPr>
      <w:r w:rsidRPr="001B3775">
        <w:rPr>
          <w:rFonts w:eastAsia="MS Mincho"/>
          <w:sz w:val="21"/>
          <w:szCs w:val="21"/>
        </w:rPr>
        <w:t xml:space="preserve">Baseline TRP and </w:t>
      </w:r>
      <w:proofErr w:type="gramStart"/>
      <w:r w:rsidRPr="001B3775">
        <w:rPr>
          <w:rFonts w:eastAsia="MS Mincho"/>
          <w:sz w:val="21"/>
          <w:szCs w:val="21"/>
        </w:rPr>
        <w:t>TRS  data</w:t>
      </w:r>
      <w:proofErr w:type="gramEnd"/>
      <w:r w:rsidRPr="001B3775">
        <w:rPr>
          <w:rFonts w:eastAsia="MS Mincho"/>
          <w:sz w:val="21"/>
          <w:szCs w:val="21"/>
        </w:rPr>
        <w:t xml:space="preserve"> with 100 MHz channel bandwidth for n41, n77, n78 bandwidth (low/mid/high channels center frequency as per TS 38.508-1) and 20 MHz channel bandwidth (low/mid/high channels). for n28 and Browsing mode configuration, with all other test parameters as defined for the performance measurement campaign.</w:t>
      </w:r>
    </w:p>
    <w:p w14:paraId="70F99D3C" w14:textId="650CE92E" w:rsidR="00991009" w:rsidRPr="001B3775" w:rsidRDefault="00991009" w:rsidP="00991009">
      <w:pPr>
        <w:pStyle w:val="ListParagraph"/>
        <w:numPr>
          <w:ilvl w:val="0"/>
          <w:numId w:val="42"/>
        </w:numPr>
        <w:spacing w:before="120" w:after="120"/>
        <w:ind w:leftChars="0"/>
        <w:rPr>
          <w:rFonts w:eastAsia="MS Mincho"/>
          <w:sz w:val="21"/>
          <w:szCs w:val="21"/>
        </w:rPr>
      </w:pPr>
      <w:r w:rsidRPr="001B3775">
        <w:rPr>
          <w:rFonts w:eastAsia="MS Mincho"/>
          <w:sz w:val="21"/>
          <w:szCs w:val="21"/>
        </w:rPr>
        <w:t xml:space="preserve">Additional data with similar parameters as above but with alternate channel bandwidth (20 MHz channel bandwidth for n41, n77, n78 and 10 MHz channel bandwidth for n28) and low/mid/high channel center frequency set as per TS 38.508-1 for the specific channel </w:t>
      </w:r>
      <w:r w:rsidR="007615C2" w:rsidRPr="001B3775">
        <w:rPr>
          <w:rFonts w:eastAsia="MS Mincho"/>
          <w:sz w:val="21"/>
          <w:szCs w:val="21"/>
        </w:rPr>
        <w:t>bandwidth.</w:t>
      </w:r>
    </w:p>
    <w:p w14:paraId="6949A78F" w14:textId="5A13894C" w:rsidR="00991009" w:rsidRDefault="00991009" w:rsidP="00991009">
      <w:pPr>
        <w:spacing w:before="120" w:after="120"/>
        <w:rPr>
          <w:rFonts w:eastAsia="MS Mincho"/>
        </w:rPr>
      </w:pPr>
      <w:r>
        <w:rPr>
          <w:rFonts w:eastAsia="MS Mincho"/>
        </w:rPr>
        <w:t xml:space="preserve">The above provided around 48 data sets per band </w:t>
      </w:r>
      <w:r w:rsidR="001B3775">
        <w:rPr>
          <w:rFonts w:eastAsia="MS Mincho"/>
        </w:rPr>
        <w:t>[8 devices x 2 modes (HL/</w:t>
      </w:r>
      <w:proofErr w:type="gramStart"/>
      <w:r w:rsidR="001B3775">
        <w:rPr>
          <w:rFonts w:eastAsia="MS Mincho"/>
        </w:rPr>
        <w:t>HR)*</w:t>
      </w:r>
      <w:proofErr w:type="gramEnd"/>
      <w:r w:rsidR="001B3775">
        <w:rPr>
          <w:rFonts w:eastAsia="MS Mincho"/>
        </w:rPr>
        <w:t xml:space="preserve">3 channels ] </w:t>
      </w:r>
      <w:r>
        <w:rPr>
          <w:rFonts w:eastAsia="MS Mincho"/>
        </w:rPr>
        <w:t xml:space="preserve">which is statistically significant. The </w:t>
      </w:r>
      <w:r w:rsidRPr="009D68FA">
        <w:rPr>
          <w:rFonts w:eastAsia="MS Mincho"/>
          <w:b/>
          <w:bCs/>
        </w:rPr>
        <w:t>expected</w:t>
      </w:r>
      <w:r>
        <w:rPr>
          <w:rFonts w:eastAsia="MS Mincho"/>
        </w:rPr>
        <w:t xml:space="preserve"> reference sensi</w:t>
      </w:r>
      <w:r w:rsidR="00DA3ECE">
        <w:rPr>
          <w:rFonts w:eastAsia="MS Mincho"/>
        </w:rPr>
        <w:t>ti</w:t>
      </w:r>
      <w:r>
        <w:rPr>
          <w:rFonts w:eastAsia="MS Mincho"/>
        </w:rPr>
        <w:t xml:space="preserve">vity levels were </w:t>
      </w:r>
      <w:r w:rsidR="001B3775">
        <w:rPr>
          <w:rFonts w:eastAsia="MS Mincho"/>
        </w:rPr>
        <w:t xml:space="preserve">computed </w:t>
      </w:r>
      <w:r>
        <w:rPr>
          <w:rFonts w:eastAsia="MS Mincho"/>
        </w:rPr>
        <w:t>as per the scaling formula which can be (using n41, n77,</w:t>
      </w:r>
      <w:r w:rsidR="009D68FA">
        <w:rPr>
          <w:rFonts w:eastAsia="MS Mincho"/>
        </w:rPr>
        <w:t xml:space="preserve"> </w:t>
      </w:r>
      <w:r>
        <w:rPr>
          <w:rFonts w:eastAsia="MS Mincho"/>
        </w:rPr>
        <w:t>n78 channel bandwidths</w:t>
      </w:r>
      <w:r w:rsidR="009D68FA">
        <w:rPr>
          <w:rFonts w:eastAsia="MS Mincho"/>
        </w:rPr>
        <w:t xml:space="preserve"> and DL RB allocation</w:t>
      </w:r>
      <w:r>
        <w:rPr>
          <w:rFonts w:eastAsia="MS Mincho"/>
        </w:rPr>
        <w:t xml:space="preserve"> as example</w:t>
      </w:r>
      <w:r w:rsidR="009D68FA">
        <w:rPr>
          <w:rFonts w:eastAsia="MS Mincho"/>
        </w:rPr>
        <w:t xml:space="preserve"> below</w:t>
      </w:r>
      <w:r>
        <w:rPr>
          <w:rFonts w:eastAsia="MS Mincho"/>
        </w:rPr>
        <w:t>)</w:t>
      </w:r>
    </w:p>
    <w:p w14:paraId="79DE7C26" w14:textId="2D9BB799" w:rsidR="00991009" w:rsidRPr="001B3775" w:rsidRDefault="00991009" w:rsidP="00991009">
      <w:pPr>
        <w:spacing w:before="120" w:after="120"/>
        <w:jc w:val="center"/>
        <w:rPr>
          <w:rFonts w:eastAsia="MS Mincho"/>
        </w:rPr>
      </w:pPr>
      <w:r w:rsidRPr="001B3775">
        <w:rPr>
          <w:rFonts w:ascii="Helvetica Neue" w:hAnsi="Helvetica Neue" w:cs="Helvetica Neue"/>
          <w:b/>
          <w:bCs/>
          <w:color w:val="000000"/>
        </w:rPr>
        <w:t>Average_TRS</w:t>
      </w:r>
      <w:r w:rsidRPr="001B3775">
        <w:rPr>
          <w:rFonts w:ascii="Helvetica Neue" w:hAnsi="Helvetica Neue" w:cs="Helvetica Neue"/>
          <w:b/>
          <w:bCs/>
          <w:i/>
          <w:iCs/>
          <w:color w:val="000000"/>
          <w:vertAlign w:val="subscript"/>
        </w:rPr>
        <w:t>20</w:t>
      </w:r>
      <w:proofErr w:type="gramStart"/>
      <w:r w:rsidRPr="001B3775">
        <w:rPr>
          <w:rFonts w:ascii="Helvetica Neue" w:hAnsi="Helvetica Neue" w:cs="Helvetica Neue"/>
          <w:b/>
          <w:bCs/>
          <w:i/>
          <w:iCs/>
          <w:color w:val="000000"/>
          <w:vertAlign w:val="subscript"/>
        </w:rPr>
        <w:t xml:space="preserve">MHz  </w:t>
      </w:r>
      <w:r w:rsidRPr="001B3775">
        <w:rPr>
          <w:rFonts w:ascii="Helvetica Neue" w:hAnsi="Helvetica Neue" w:cs="Helvetica Neue"/>
          <w:b/>
          <w:bCs/>
          <w:color w:val="000000"/>
        </w:rPr>
        <w:t>=</w:t>
      </w:r>
      <w:proofErr w:type="gramEnd"/>
      <w:r w:rsidRPr="001B3775">
        <w:rPr>
          <w:rFonts w:ascii="Helvetica Neue" w:hAnsi="Helvetica Neue" w:cs="Helvetica Neue"/>
          <w:b/>
          <w:bCs/>
          <w:i/>
          <w:iCs/>
          <w:color w:val="000000"/>
          <w:vertAlign w:val="subscript"/>
        </w:rPr>
        <w:t xml:space="preserve"> </w:t>
      </w:r>
      <w:r w:rsidRPr="001B3775">
        <w:rPr>
          <w:rFonts w:ascii="Helvetica Neue" w:hAnsi="Helvetica Neue" w:cs="Helvetica Neue"/>
          <w:b/>
          <w:bCs/>
          <w:color w:val="000000"/>
        </w:rPr>
        <w:t>Average_TRS</w:t>
      </w:r>
      <w:r w:rsidRPr="001B3775">
        <w:rPr>
          <w:rFonts w:ascii="Helvetica Neue" w:hAnsi="Helvetica Neue" w:cs="Helvetica Neue"/>
          <w:b/>
          <w:bCs/>
          <w:i/>
          <w:iCs/>
          <w:color w:val="000000"/>
          <w:vertAlign w:val="subscript"/>
        </w:rPr>
        <w:t xml:space="preserve">100MHz </w:t>
      </w:r>
      <w:r w:rsidRPr="001B3775">
        <w:rPr>
          <w:rFonts w:ascii="Helvetica Neue" w:hAnsi="Helvetica Neue" w:cs="Helvetica Neue"/>
          <w:b/>
          <w:bCs/>
          <w:color w:val="000000"/>
        </w:rPr>
        <w:t>+ log</w:t>
      </w:r>
      <w:r w:rsidRPr="001B3775">
        <w:rPr>
          <w:rFonts w:ascii="Helvetica Neue" w:hAnsi="Helvetica Neue" w:cs="Helvetica Neue"/>
          <w:b/>
          <w:bCs/>
          <w:i/>
          <w:iCs/>
          <w:color w:val="000000"/>
          <w:vertAlign w:val="subscript"/>
        </w:rPr>
        <w:t>10</w:t>
      </w:r>
      <w:r w:rsidRPr="001B3775">
        <w:rPr>
          <w:rFonts w:ascii="Helvetica Neue" w:hAnsi="Helvetica Neue" w:cs="Helvetica Neue"/>
          <w:b/>
          <w:bCs/>
          <w:color w:val="000000"/>
        </w:rPr>
        <w:t>(N</w:t>
      </w:r>
      <w:r w:rsidRPr="001B3775">
        <w:rPr>
          <w:rFonts w:ascii="Helvetica Neue" w:hAnsi="Helvetica Neue" w:cs="Helvetica Neue"/>
          <w:b/>
          <w:bCs/>
          <w:i/>
          <w:iCs/>
          <w:color w:val="000000"/>
          <w:vertAlign w:val="subscript"/>
        </w:rPr>
        <w:t>RB_20MHz</w:t>
      </w:r>
      <w:r w:rsidRPr="001B3775">
        <w:rPr>
          <w:rFonts w:ascii="Helvetica Neue" w:hAnsi="Helvetica Neue" w:cs="Helvetica Neue"/>
          <w:b/>
          <w:bCs/>
          <w:color w:val="000000"/>
        </w:rPr>
        <w:t>/N</w:t>
      </w:r>
      <w:r w:rsidRPr="001B3775">
        <w:rPr>
          <w:rFonts w:ascii="Helvetica Neue" w:hAnsi="Helvetica Neue" w:cs="Helvetica Neue"/>
          <w:b/>
          <w:bCs/>
          <w:i/>
          <w:iCs/>
          <w:color w:val="000000"/>
          <w:vertAlign w:val="subscript"/>
        </w:rPr>
        <w:t>RB_100MHz</w:t>
      </w:r>
      <w:r w:rsidRPr="001B3775">
        <w:rPr>
          <w:rFonts w:ascii="Helvetica Neue" w:hAnsi="Helvetica Neue" w:cs="Helvetica Neue"/>
          <w:b/>
          <w:bCs/>
          <w:color w:val="000000"/>
        </w:rPr>
        <w:t>)</w:t>
      </w:r>
    </w:p>
    <w:p w14:paraId="6D8CA4D6" w14:textId="07D6ABAB" w:rsidR="00991009" w:rsidRDefault="00991009" w:rsidP="00991009">
      <w:pPr>
        <w:spacing w:before="120" w:after="120"/>
        <w:rPr>
          <w:rFonts w:eastAsia="MS Mincho"/>
        </w:rPr>
      </w:pPr>
      <w:r>
        <w:rPr>
          <w:rFonts w:eastAsia="MS Mincho"/>
        </w:rPr>
        <w:t>The delta (dB) between the measured and expected reference sensitivity levels across 3 channels for all the high bands was then evaluated and the high-level statistics for the same as shown in the table below. A positive delta value indicates a higher-than-expected reference sensitivity level was measured due to either or both factors and not precluding other implicit factors.</w:t>
      </w:r>
    </w:p>
    <w:p w14:paraId="272DFE4B" w14:textId="533BB0F1" w:rsidR="00991009" w:rsidRPr="001B3775" w:rsidRDefault="001B3775" w:rsidP="00991009">
      <w:pPr>
        <w:spacing w:before="120" w:after="120"/>
        <w:jc w:val="center"/>
        <w:rPr>
          <w:rFonts w:ascii="Arial" w:hAnsi="Arial" w:cs="Arial"/>
          <w:b/>
          <w:bCs/>
        </w:rPr>
      </w:pPr>
      <w:r w:rsidRPr="001B3775">
        <w:rPr>
          <w:rFonts w:ascii="Arial" w:hAnsi="Arial" w:cs="Arial"/>
          <w:b/>
          <w:bCs/>
        </w:rPr>
        <w:t>Table 1</w:t>
      </w:r>
      <w:r w:rsidR="00991009" w:rsidRPr="001B3775">
        <w:rPr>
          <w:rFonts w:ascii="Arial" w:hAnsi="Arial" w:cs="Arial"/>
          <w:b/>
          <w:bCs/>
        </w:rPr>
        <w:t xml:space="preserve"> – Delta between expected (scaled) reference sensitive level and measured/empirical across the bands of interest.</w:t>
      </w:r>
    </w:p>
    <w:tbl>
      <w:tblPr>
        <w:tblW w:w="3640" w:type="dxa"/>
        <w:jc w:val="center"/>
        <w:tblLook w:val="04A0" w:firstRow="1" w:lastRow="0" w:firstColumn="1" w:lastColumn="0" w:noHBand="0" w:noVBand="1"/>
      </w:tblPr>
      <w:tblGrid>
        <w:gridCol w:w="2320"/>
        <w:gridCol w:w="1320"/>
      </w:tblGrid>
      <w:tr w:rsidR="00991009" w14:paraId="78C3A95E" w14:textId="77777777" w:rsidTr="00991009">
        <w:trPr>
          <w:trHeight w:val="590"/>
          <w:jc w:val="center"/>
        </w:trPr>
        <w:tc>
          <w:tcPr>
            <w:tcW w:w="23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E7B857" w14:textId="4D42966B" w:rsidR="00991009" w:rsidRPr="00991009" w:rsidRDefault="00991009" w:rsidP="00991009">
            <w:pPr>
              <w:jc w:val="center"/>
              <w:rPr>
                <w:color w:val="000000"/>
                <w:sz w:val="20"/>
                <w:szCs w:val="20"/>
              </w:rPr>
            </w:pPr>
            <w:r w:rsidRPr="00991009">
              <w:rPr>
                <w:color w:val="000000"/>
                <w:sz w:val="20"/>
                <w:szCs w:val="20"/>
              </w:rPr>
              <w:t xml:space="preserve">Average Delta </w:t>
            </w:r>
            <w:r w:rsidR="00DA3ECE">
              <w:rPr>
                <w:color w:val="000000"/>
                <w:sz w:val="20"/>
                <w:szCs w:val="20"/>
              </w:rPr>
              <w:t>for</w:t>
            </w:r>
            <w:r w:rsidRPr="00991009">
              <w:rPr>
                <w:color w:val="000000"/>
                <w:sz w:val="20"/>
                <w:szCs w:val="20"/>
              </w:rPr>
              <w:t xml:space="preserve"> n28 (dB)</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14:paraId="48978B31" w14:textId="103C9432" w:rsidR="00991009" w:rsidRPr="00991009" w:rsidRDefault="00991009" w:rsidP="00991009">
            <w:pPr>
              <w:jc w:val="center"/>
              <w:rPr>
                <w:color w:val="000000"/>
                <w:sz w:val="20"/>
                <w:szCs w:val="20"/>
              </w:rPr>
            </w:pPr>
            <w:r w:rsidRPr="00991009">
              <w:rPr>
                <w:color w:val="000000"/>
                <w:sz w:val="20"/>
                <w:szCs w:val="20"/>
              </w:rPr>
              <w:t>0.</w:t>
            </w:r>
            <w:r>
              <w:rPr>
                <w:color w:val="000000"/>
                <w:sz w:val="20"/>
                <w:szCs w:val="20"/>
              </w:rPr>
              <w:t>5</w:t>
            </w:r>
            <w:r w:rsidRPr="00991009">
              <w:rPr>
                <w:color w:val="000000"/>
                <w:sz w:val="20"/>
                <w:szCs w:val="20"/>
              </w:rPr>
              <w:t>2</w:t>
            </w:r>
          </w:p>
        </w:tc>
      </w:tr>
      <w:tr w:rsidR="00991009" w14:paraId="1B444B02" w14:textId="77777777" w:rsidTr="00991009">
        <w:trPr>
          <w:trHeight w:val="617"/>
          <w:jc w:val="center"/>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054581CC" w14:textId="77777777" w:rsidR="00991009" w:rsidRPr="00991009" w:rsidRDefault="00991009" w:rsidP="00991009">
            <w:pPr>
              <w:jc w:val="center"/>
              <w:rPr>
                <w:color w:val="000000"/>
                <w:sz w:val="20"/>
                <w:szCs w:val="20"/>
              </w:rPr>
            </w:pPr>
            <w:r w:rsidRPr="00991009">
              <w:rPr>
                <w:color w:val="000000"/>
                <w:sz w:val="20"/>
                <w:szCs w:val="20"/>
              </w:rPr>
              <w:t>Average Delta for n41 (dB)</w:t>
            </w:r>
          </w:p>
        </w:tc>
        <w:tc>
          <w:tcPr>
            <w:tcW w:w="1320" w:type="dxa"/>
            <w:tcBorders>
              <w:top w:val="nil"/>
              <w:left w:val="nil"/>
              <w:bottom w:val="single" w:sz="4" w:space="0" w:color="auto"/>
              <w:right w:val="single" w:sz="4" w:space="0" w:color="auto"/>
            </w:tcBorders>
            <w:shd w:val="clear" w:color="auto" w:fill="auto"/>
            <w:noWrap/>
            <w:vAlign w:val="bottom"/>
            <w:hideMark/>
          </w:tcPr>
          <w:p w14:paraId="56913252" w14:textId="567B5BE7" w:rsidR="00991009" w:rsidRPr="00991009" w:rsidRDefault="00991009" w:rsidP="00991009">
            <w:pPr>
              <w:jc w:val="center"/>
              <w:rPr>
                <w:color w:val="000000"/>
                <w:sz w:val="20"/>
                <w:szCs w:val="20"/>
              </w:rPr>
            </w:pPr>
            <w:r w:rsidRPr="00991009">
              <w:rPr>
                <w:color w:val="000000"/>
                <w:sz w:val="20"/>
                <w:szCs w:val="20"/>
              </w:rPr>
              <w:t>0.</w:t>
            </w:r>
            <w:r>
              <w:rPr>
                <w:color w:val="000000"/>
                <w:sz w:val="20"/>
                <w:szCs w:val="20"/>
              </w:rPr>
              <w:t>5</w:t>
            </w:r>
            <w:r w:rsidRPr="00991009">
              <w:rPr>
                <w:color w:val="000000"/>
                <w:sz w:val="20"/>
                <w:szCs w:val="20"/>
              </w:rPr>
              <w:t>3</w:t>
            </w:r>
          </w:p>
        </w:tc>
      </w:tr>
      <w:tr w:rsidR="00991009" w14:paraId="4F6C90A6" w14:textId="77777777" w:rsidTr="00991009">
        <w:trPr>
          <w:trHeight w:val="527"/>
          <w:jc w:val="center"/>
        </w:trPr>
        <w:tc>
          <w:tcPr>
            <w:tcW w:w="2320" w:type="dxa"/>
            <w:tcBorders>
              <w:top w:val="nil"/>
              <w:left w:val="single" w:sz="4" w:space="0" w:color="auto"/>
              <w:bottom w:val="single" w:sz="4" w:space="0" w:color="auto"/>
              <w:right w:val="single" w:sz="4" w:space="0" w:color="auto"/>
            </w:tcBorders>
            <w:shd w:val="clear" w:color="auto" w:fill="auto"/>
            <w:vAlign w:val="bottom"/>
            <w:hideMark/>
          </w:tcPr>
          <w:p w14:paraId="25FE4FB0" w14:textId="77777777" w:rsidR="00991009" w:rsidRPr="00991009" w:rsidRDefault="00991009" w:rsidP="00991009">
            <w:pPr>
              <w:jc w:val="center"/>
              <w:rPr>
                <w:color w:val="000000"/>
                <w:sz w:val="20"/>
                <w:szCs w:val="20"/>
              </w:rPr>
            </w:pPr>
            <w:r w:rsidRPr="00991009">
              <w:rPr>
                <w:color w:val="000000"/>
                <w:sz w:val="20"/>
                <w:szCs w:val="20"/>
              </w:rPr>
              <w:t>Average Delta for n77, n78 (dB)</w:t>
            </w:r>
          </w:p>
        </w:tc>
        <w:tc>
          <w:tcPr>
            <w:tcW w:w="1320" w:type="dxa"/>
            <w:tcBorders>
              <w:top w:val="nil"/>
              <w:left w:val="nil"/>
              <w:bottom w:val="single" w:sz="4" w:space="0" w:color="auto"/>
              <w:right w:val="single" w:sz="4" w:space="0" w:color="auto"/>
            </w:tcBorders>
            <w:shd w:val="clear" w:color="auto" w:fill="auto"/>
            <w:noWrap/>
            <w:vAlign w:val="bottom"/>
            <w:hideMark/>
          </w:tcPr>
          <w:p w14:paraId="2843E31D" w14:textId="67603806" w:rsidR="00991009" w:rsidRPr="00991009" w:rsidRDefault="00991009" w:rsidP="00991009">
            <w:pPr>
              <w:jc w:val="center"/>
              <w:rPr>
                <w:color w:val="000000"/>
                <w:sz w:val="20"/>
                <w:szCs w:val="20"/>
              </w:rPr>
            </w:pPr>
            <w:r w:rsidRPr="00991009">
              <w:rPr>
                <w:color w:val="000000"/>
                <w:sz w:val="20"/>
                <w:szCs w:val="20"/>
              </w:rPr>
              <w:t>0.</w:t>
            </w:r>
            <w:r>
              <w:rPr>
                <w:color w:val="000000"/>
                <w:sz w:val="20"/>
                <w:szCs w:val="20"/>
              </w:rPr>
              <w:t>6</w:t>
            </w:r>
            <w:r w:rsidRPr="00991009">
              <w:rPr>
                <w:color w:val="000000"/>
                <w:sz w:val="20"/>
                <w:szCs w:val="20"/>
              </w:rPr>
              <w:t>1</w:t>
            </w:r>
          </w:p>
        </w:tc>
      </w:tr>
    </w:tbl>
    <w:p w14:paraId="2C4D15BE" w14:textId="1B4DAA92" w:rsidR="00991009" w:rsidRDefault="00991009" w:rsidP="00991009">
      <w:pPr>
        <w:spacing w:before="120" w:after="120"/>
        <w:rPr>
          <w:rFonts w:eastAsia="MS Mincho"/>
        </w:rPr>
      </w:pPr>
      <w:r>
        <w:rPr>
          <w:rFonts w:eastAsia="MS Mincho"/>
        </w:rPr>
        <w:t xml:space="preserve">Based on the empirical data, we propose an additional allowance factor which is equivalent to the allowance </w:t>
      </w:r>
      <w:r w:rsidRPr="00771DE2">
        <w:t>ΔR</w:t>
      </w:r>
      <w:r w:rsidRPr="00771DE2">
        <w:rPr>
          <w:vertAlign w:val="subscript"/>
        </w:rPr>
        <w:t>IB</w:t>
      </w:r>
      <w:r>
        <w:rPr>
          <w:vertAlign w:val="subscript"/>
        </w:rPr>
        <w:t xml:space="preserve"> </w:t>
      </w:r>
      <w:r>
        <w:rPr>
          <w:rFonts w:eastAsia="MS Mincho"/>
        </w:rPr>
        <w:t>which is already in place in the conducted specifications. In other words -</w:t>
      </w:r>
    </w:p>
    <w:p w14:paraId="3551F06F" w14:textId="28ACE214" w:rsidR="00991009" w:rsidRPr="001B3775" w:rsidRDefault="00991009" w:rsidP="00991009">
      <w:pPr>
        <w:spacing w:before="120" w:after="120"/>
        <w:jc w:val="center"/>
        <w:rPr>
          <w:rFonts w:ascii="Helvetica Neue" w:hAnsi="Helvetica Neue" w:cs="Helvetica Neue"/>
          <w:b/>
          <w:bCs/>
          <w:color w:val="000000"/>
        </w:rPr>
      </w:pPr>
      <w:r w:rsidRPr="001B3775">
        <w:rPr>
          <w:rFonts w:ascii="Helvetica Neue" w:hAnsi="Helvetica Neue" w:cs="Helvetica Neue"/>
          <w:b/>
          <w:bCs/>
          <w:color w:val="000000"/>
        </w:rPr>
        <w:t>Average_TRS</w:t>
      </w:r>
      <w:r w:rsidRPr="001B3775">
        <w:rPr>
          <w:rFonts w:ascii="Helvetica Neue" w:hAnsi="Helvetica Neue" w:cs="Helvetica Neue"/>
          <w:b/>
          <w:bCs/>
          <w:i/>
          <w:iCs/>
          <w:color w:val="000000"/>
          <w:vertAlign w:val="subscript"/>
        </w:rPr>
        <w:t>20</w:t>
      </w:r>
      <w:proofErr w:type="gramStart"/>
      <w:r w:rsidRPr="001B3775">
        <w:rPr>
          <w:rFonts w:ascii="Helvetica Neue" w:hAnsi="Helvetica Neue" w:cs="Helvetica Neue"/>
          <w:b/>
          <w:bCs/>
          <w:i/>
          <w:iCs/>
          <w:color w:val="000000"/>
          <w:vertAlign w:val="subscript"/>
        </w:rPr>
        <w:t xml:space="preserve">MHz  </w:t>
      </w:r>
      <w:r w:rsidRPr="001B3775">
        <w:rPr>
          <w:rFonts w:ascii="Helvetica Neue" w:hAnsi="Helvetica Neue" w:cs="Helvetica Neue"/>
          <w:b/>
          <w:bCs/>
          <w:color w:val="000000"/>
        </w:rPr>
        <w:t>=</w:t>
      </w:r>
      <w:proofErr w:type="gramEnd"/>
      <w:r w:rsidRPr="001B3775">
        <w:rPr>
          <w:rFonts w:ascii="Helvetica Neue" w:hAnsi="Helvetica Neue" w:cs="Helvetica Neue"/>
          <w:b/>
          <w:bCs/>
          <w:i/>
          <w:iCs/>
          <w:color w:val="000000"/>
          <w:vertAlign w:val="subscript"/>
        </w:rPr>
        <w:t xml:space="preserve"> </w:t>
      </w:r>
      <w:r w:rsidRPr="001B3775">
        <w:rPr>
          <w:rFonts w:ascii="Helvetica Neue" w:hAnsi="Helvetica Neue" w:cs="Helvetica Neue"/>
          <w:b/>
          <w:bCs/>
          <w:color w:val="000000"/>
        </w:rPr>
        <w:t>Average_TRS</w:t>
      </w:r>
      <w:r w:rsidRPr="001B3775">
        <w:rPr>
          <w:rFonts w:ascii="Helvetica Neue" w:hAnsi="Helvetica Neue" w:cs="Helvetica Neue"/>
          <w:b/>
          <w:bCs/>
          <w:i/>
          <w:iCs/>
          <w:color w:val="000000"/>
          <w:vertAlign w:val="subscript"/>
        </w:rPr>
        <w:t xml:space="preserve">100MHz </w:t>
      </w:r>
      <w:r w:rsidRPr="001B3775">
        <w:rPr>
          <w:rFonts w:ascii="Helvetica Neue" w:hAnsi="Helvetica Neue" w:cs="Helvetica Neue"/>
          <w:b/>
          <w:bCs/>
          <w:color w:val="000000"/>
        </w:rPr>
        <w:t>+ log</w:t>
      </w:r>
      <w:r w:rsidRPr="001B3775">
        <w:rPr>
          <w:rFonts w:ascii="Helvetica Neue" w:hAnsi="Helvetica Neue" w:cs="Helvetica Neue"/>
          <w:b/>
          <w:bCs/>
          <w:i/>
          <w:iCs/>
          <w:color w:val="000000"/>
          <w:vertAlign w:val="subscript"/>
        </w:rPr>
        <w:t>10</w:t>
      </w:r>
      <w:r w:rsidRPr="001B3775">
        <w:rPr>
          <w:rFonts w:ascii="Helvetica Neue" w:hAnsi="Helvetica Neue" w:cs="Helvetica Neue"/>
          <w:b/>
          <w:bCs/>
          <w:color w:val="000000"/>
        </w:rPr>
        <w:t>(N</w:t>
      </w:r>
      <w:r w:rsidRPr="001B3775">
        <w:rPr>
          <w:rFonts w:ascii="Helvetica Neue" w:hAnsi="Helvetica Neue" w:cs="Helvetica Neue"/>
          <w:b/>
          <w:bCs/>
          <w:i/>
          <w:iCs/>
          <w:color w:val="000000"/>
          <w:vertAlign w:val="subscript"/>
        </w:rPr>
        <w:t>RB_20MHz</w:t>
      </w:r>
      <w:r w:rsidRPr="001B3775">
        <w:rPr>
          <w:rFonts w:ascii="Helvetica Neue" w:hAnsi="Helvetica Neue" w:cs="Helvetica Neue"/>
          <w:b/>
          <w:bCs/>
          <w:color w:val="000000"/>
        </w:rPr>
        <w:t>/N</w:t>
      </w:r>
      <w:r w:rsidRPr="001B3775">
        <w:rPr>
          <w:rFonts w:ascii="Helvetica Neue" w:hAnsi="Helvetica Neue" w:cs="Helvetica Neue"/>
          <w:b/>
          <w:bCs/>
          <w:i/>
          <w:iCs/>
          <w:color w:val="000000"/>
          <w:vertAlign w:val="subscript"/>
        </w:rPr>
        <w:t>RB_100MHz</w:t>
      </w:r>
      <w:r w:rsidRPr="001B3775">
        <w:rPr>
          <w:rFonts w:ascii="Helvetica Neue" w:hAnsi="Helvetica Neue" w:cs="Helvetica Neue"/>
          <w:b/>
          <w:bCs/>
          <w:color w:val="000000"/>
        </w:rPr>
        <w:t>) + X</w:t>
      </w:r>
    </w:p>
    <w:p w14:paraId="7902371A" w14:textId="3AFE9A0A" w:rsidR="00991009" w:rsidRPr="00991009" w:rsidRDefault="00991009" w:rsidP="00991009">
      <w:pPr>
        <w:spacing w:before="120" w:after="120"/>
        <w:rPr>
          <w:rFonts w:eastAsia="MS Mincho"/>
        </w:rPr>
      </w:pPr>
      <w:r w:rsidRPr="00991009">
        <w:rPr>
          <w:rFonts w:eastAsia="MS Mincho"/>
        </w:rPr>
        <w:t>Where X</w:t>
      </w:r>
      <w:r>
        <w:rPr>
          <w:rFonts w:eastAsia="MS Mincho"/>
        </w:rPr>
        <w:t xml:space="preserve"> &gt; 0 dB</w:t>
      </w:r>
      <w:r w:rsidRPr="00991009">
        <w:rPr>
          <w:rFonts w:eastAsia="MS Mincho"/>
        </w:rPr>
        <w:t xml:space="preserve"> is the allowance </w:t>
      </w:r>
      <w:r w:rsidR="00DA3ECE">
        <w:rPr>
          <w:rFonts w:eastAsia="MS Mincho"/>
        </w:rPr>
        <w:t>added to the scaled requirement value.</w:t>
      </w:r>
      <w:r w:rsidRPr="00991009">
        <w:rPr>
          <w:rFonts w:eastAsia="MS Mincho"/>
        </w:rPr>
        <w:t xml:space="preserve"> </w:t>
      </w:r>
    </w:p>
    <w:p w14:paraId="52AD55DE" w14:textId="7B6EFB53" w:rsidR="00991009" w:rsidRDefault="00991009" w:rsidP="00991009">
      <w:pPr>
        <w:spacing w:before="120" w:after="120"/>
        <w:rPr>
          <w:rFonts w:eastAsia="MS Mincho"/>
        </w:rPr>
      </w:pPr>
      <w:r w:rsidRPr="00991009">
        <w:rPr>
          <w:rFonts w:eastAsia="MS Mincho"/>
        </w:rPr>
        <w:t xml:space="preserve">This allowance can be represented similar to the </w:t>
      </w:r>
      <w:r w:rsidRPr="00771DE2">
        <w:t>ΔR</w:t>
      </w:r>
      <w:r w:rsidRPr="00771DE2">
        <w:rPr>
          <w:vertAlign w:val="subscript"/>
        </w:rPr>
        <w:t>IB</w:t>
      </w:r>
      <w:r w:rsidRPr="00991009">
        <w:rPr>
          <w:rFonts w:eastAsia="MS Mincho"/>
        </w:rPr>
        <w:t xml:space="preserve"> tables </w:t>
      </w:r>
      <w:r w:rsidR="001B3775">
        <w:rPr>
          <w:rFonts w:eastAsia="MS Mincho"/>
        </w:rPr>
        <w:t xml:space="preserve">included in TS 38.521-1 and an example is shown </w:t>
      </w:r>
      <w:r w:rsidRPr="00991009">
        <w:rPr>
          <w:rFonts w:eastAsia="MS Mincho"/>
        </w:rPr>
        <w:t>below.</w:t>
      </w:r>
    </w:p>
    <w:p w14:paraId="7A76C358" w14:textId="68BD34E5" w:rsidR="001B3775" w:rsidRPr="001B3775" w:rsidRDefault="001B3775" w:rsidP="001B3775">
      <w:pPr>
        <w:spacing w:before="120" w:after="120"/>
        <w:jc w:val="center"/>
        <w:rPr>
          <w:rFonts w:ascii="Arial" w:hAnsi="Arial" w:cs="Arial"/>
          <w:b/>
          <w:bCs/>
        </w:rPr>
      </w:pPr>
      <w:r w:rsidRPr="001B3775">
        <w:rPr>
          <w:rFonts w:ascii="Arial" w:hAnsi="Arial" w:cs="Arial"/>
          <w:b/>
          <w:bCs/>
        </w:rPr>
        <w:t xml:space="preserve">Table 2: Proposed table </w:t>
      </w:r>
      <w:r>
        <w:rPr>
          <w:rFonts w:ascii="Arial" w:hAnsi="Arial" w:cs="Arial"/>
          <w:b/>
          <w:bCs/>
        </w:rPr>
        <w:t xml:space="preserve">(example) </w:t>
      </w:r>
      <w:r w:rsidRPr="001B3775">
        <w:rPr>
          <w:rFonts w:ascii="Arial" w:hAnsi="Arial" w:cs="Arial"/>
          <w:b/>
          <w:bCs/>
        </w:rPr>
        <w:t xml:space="preserve">containing allowance on top of scaled Browsing Mode TRS </w:t>
      </w:r>
      <w:proofErr w:type="gramStart"/>
      <w:r w:rsidRPr="001B3775">
        <w:rPr>
          <w:rFonts w:ascii="Arial" w:hAnsi="Arial" w:cs="Arial"/>
          <w:b/>
          <w:bCs/>
        </w:rPr>
        <w:t>requirements</w:t>
      </w:r>
      <w:proofErr w:type="gramEnd"/>
      <w:r w:rsidRPr="001B3775">
        <w:rPr>
          <w:rFonts w:ascii="Arial" w:hAnsi="Arial" w:cs="Arial"/>
          <w:b/>
          <w:bCs/>
        </w:rPr>
        <w:t xml:space="preserve"> </w:t>
      </w:r>
    </w:p>
    <w:p w14:paraId="6C1DCB37" w14:textId="031E74DE" w:rsidR="00991009" w:rsidRPr="001B3775" w:rsidRDefault="00991009" w:rsidP="00991009">
      <w:pPr>
        <w:pStyle w:val="TH"/>
        <w:rPr>
          <w:bCs/>
          <w:sz w:val="24"/>
          <w:szCs w:val="24"/>
          <w:highlight w:val="lightGray"/>
          <w:vertAlign w:val="subscript"/>
        </w:rPr>
      </w:pPr>
      <w:r w:rsidRPr="001B3775">
        <w:rPr>
          <w:sz w:val="24"/>
          <w:szCs w:val="24"/>
          <w:highlight w:val="lightGray"/>
        </w:rPr>
        <w:lastRenderedPageBreak/>
        <w:t>Additional allowance on top of scaled Browsing Mode TRS requirements for n28</w:t>
      </w:r>
      <w:r w:rsidRPr="001B3775">
        <w:rPr>
          <w:sz w:val="24"/>
          <w:szCs w:val="24"/>
          <w:highlight w:val="lightGray"/>
          <w:vertAlign w:val="superscript"/>
        </w:rPr>
        <w:t>1</w:t>
      </w:r>
      <w:r w:rsidRPr="001B3775">
        <w:rPr>
          <w:sz w:val="24"/>
          <w:szCs w:val="24"/>
          <w:highlight w:val="lightGray"/>
        </w:rPr>
        <w:t>, n41</w:t>
      </w:r>
      <w:r w:rsidRPr="001B3775">
        <w:rPr>
          <w:sz w:val="24"/>
          <w:szCs w:val="24"/>
          <w:highlight w:val="lightGray"/>
          <w:vertAlign w:val="superscript"/>
        </w:rPr>
        <w:t>2</w:t>
      </w:r>
      <w:r w:rsidRPr="001B3775">
        <w:rPr>
          <w:sz w:val="24"/>
          <w:szCs w:val="24"/>
          <w:highlight w:val="lightGray"/>
        </w:rPr>
        <w:t>, n77</w:t>
      </w:r>
      <w:r w:rsidRPr="001B3775">
        <w:rPr>
          <w:sz w:val="24"/>
          <w:szCs w:val="24"/>
          <w:highlight w:val="lightGray"/>
          <w:vertAlign w:val="superscript"/>
        </w:rPr>
        <w:t>2</w:t>
      </w:r>
      <w:r w:rsidRPr="001B3775">
        <w:rPr>
          <w:sz w:val="24"/>
          <w:szCs w:val="24"/>
          <w:highlight w:val="lightGray"/>
        </w:rPr>
        <w:t>, n78</w:t>
      </w:r>
      <w:r w:rsidRPr="001B3775">
        <w:rPr>
          <w:sz w:val="24"/>
          <w:szCs w:val="24"/>
          <w:highlight w:val="lightGray"/>
          <w:vertAlign w:val="superscript"/>
        </w:rPr>
        <w:t>2</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91009" w:rsidRPr="001B3775" w14:paraId="7A3A3BD8" w14:textId="77777777" w:rsidTr="0057240D">
        <w:trPr>
          <w:jc w:val="center"/>
        </w:trPr>
        <w:tc>
          <w:tcPr>
            <w:tcW w:w="2889" w:type="dxa"/>
          </w:tcPr>
          <w:p w14:paraId="4E09F22B" w14:textId="77777777" w:rsidR="00991009" w:rsidRPr="001B3775" w:rsidRDefault="00991009" w:rsidP="0057240D">
            <w:pPr>
              <w:pStyle w:val="TAH"/>
              <w:rPr>
                <w:sz w:val="24"/>
                <w:szCs w:val="24"/>
                <w:highlight w:val="lightGray"/>
              </w:rPr>
            </w:pPr>
            <w:r w:rsidRPr="001B3775">
              <w:rPr>
                <w:sz w:val="24"/>
                <w:szCs w:val="24"/>
                <w:highlight w:val="lightGray"/>
              </w:rPr>
              <w:t>Operating band</w:t>
            </w:r>
          </w:p>
        </w:tc>
        <w:tc>
          <w:tcPr>
            <w:tcW w:w="2970" w:type="dxa"/>
          </w:tcPr>
          <w:p w14:paraId="6E9C38C1" w14:textId="6DD2652E" w:rsidR="00991009" w:rsidRPr="001B3775" w:rsidRDefault="00991009" w:rsidP="0057240D">
            <w:pPr>
              <w:pStyle w:val="TAH"/>
              <w:rPr>
                <w:sz w:val="24"/>
                <w:szCs w:val="24"/>
                <w:highlight w:val="lightGray"/>
              </w:rPr>
            </w:pPr>
            <w:r w:rsidRPr="001B3775">
              <w:rPr>
                <w:sz w:val="24"/>
                <w:szCs w:val="24"/>
                <w:highlight w:val="lightGray"/>
              </w:rPr>
              <w:t>Allowance</w:t>
            </w:r>
            <w:r w:rsidRPr="001B3775">
              <w:rPr>
                <w:sz w:val="24"/>
                <w:szCs w:val="24"/>
                <w:highlight w:val="lightGray"/>
                <w:vertAlign w:val="subscript"/>
              </w:rPr>
              <w:t xml:space="preserve"> </w:t>
            </w:r>
            <w:r w:rsidRPr="001B3775">
              <w:rPr>
                <w:sz w:val="24"/>
                <w:szCs w:val="24"/>
                <w:highlight w:val="lightGray"/>
              </w:rPr>
              <w:t>(dB)</w:t>
            </w:r>
          </w:p>
        </w:tc>
      </w:tr>
      <w:tr w:rsidR="00991009" w:rsidRPr="001B3775" w14:paraId="64C65223" w14:textId="77777777" w:rsidTr="0057240D">
        <w:trPr>
          <w:jc w:val="center"/>
        </w:trPr>
        <w:tc>
          <w:tcPr>
            <w:tcW w:w="2889" w:type="dxa"/>
            <w:vAlign w:val="center"/>
          </w:tcPr>
          <w:p w14:paraId="2716D7B7" w14:textId="60198663" w:rsidR="00991009" w:rsidRPr="001B3775" w:rsidRDefault="00991009" w:rsidP="0057240D">
            <w:pPr>
              <w:pStyle w:val="TAC"/>
              <w:rPr>
                <w:sz w:val="24"/>
                <w:szCs w:val="24"/>
                <w:highlight w:val="lightGray"/>
              </w:rPr>
            </w:pPr>
            <w:r w:rsidRPr="001B3775">
              <w:rPr>
                <w:sz w:val="24"/>
                <w:szCs w:val="24"/>
                <w:highlight w:val="lightGray"/>
                <w:lang w:eastAsia="zh-CN"/>
              </w:rPr>
              <w:t>n28</w:t>
            </w:r>
          </w:p>
        </w:tc>
        <w:tc>
          <w:tcPr>
            <w:tcW w:w="2970" w:type="dxa"/>
            <w:vAlign w:val="center"/>
          </w:tcPr>
          <w:p w14:paraId="325E3FE7" w14:textId="7719B658" w:rsidR="00991009" w:rsidRPr="001B3775" w:rsidRDefault="00991009" w:rsidP="0057240D">
            <w:pPr>
              <w:pStyle w:val="TAC"/>
              <w:rPr>
                <w:sz w:val="24"/>
                <w:szCs w:val="24"/>
                <w:highlight w:val="lightGray"/>
              </w:rPr>
            </w:pPr>
            <w:r w:rsidRPr="001B3775">
              <w:rPr>
                <w:sz w:val="24"/>
                <w:szCs w:val="24"/>
                <w:highlight w:val="lightGray"/>
              </w:rPr>
              <w:t>[0.52]</w:t>
            </w:r>
          </w:p>
        </w:tc>
      </w:tr>
      <w:tr w:rsidR="00991009" w:rsidRPr="001B3775" w14:paraId="2F928A13" w14:textId="77777777" w:rsidTr="0057240D">
        <w:trPr>
          <w:jc w:val="center"/>
        </w:trPr>
        <w:tc>
          <w:tcPr>
            <w:tcW w:w="2889" w:type="dxa"/>
            <w:vAlign w:val="center"/>
          </w:tcPr>
          <w:p w14:paraId="274A0506" w14:textId="27F50497" w:rsidR="00991009" w:rsidRPr="001B3775" w:rsidRDefault="00991009" w:rsidP="0057240D">
            <w:pPr>
              <w:pStyle w:val="TAC"/>
              <w:rPr>
                <w:sz w:val="24"/>
                <w:szCs w:val="24"/>
                <w:highlight w:val="lightGray"/>
              </w:rPr>
            </w:pPr>
            <w:r w:rsidRPr="001B3775">
              <w:rPr>
                <w:sz w:val="24"/>
                <w:szCs w:val="24"/>
                <w:highlight w:val="lightGray"/>
              </w:rPr>
              <w:t>n41</w:t>
            </w:r>
          </w:p>
        </w:tc>
        <w:tc>
          <w:tcPr>
            <w:tcW w:w="2970" w:type="dxa"/>
            <w:vAlign w:val="center"/>
          </w:tcPr>
          <w:p w14:paraId="5DAF77C4" w14:textId="71CAF5AD" w:rsidR="00991009" w:rsidRPr="001B3775" w:rsidRDefault="00991009" w:rsidP="0057240D">
            <w:pPr>
              <w:pStyle w:val="TAC"/>
              <w:rPr>
                <w:sz w:val="24"/>
                <w:szCs w:val="24"/>
                <w:highlight w:val="lightGray"/>
              </w:rPr>
            </w:pPr>
            <w:r w:rsidRPr="001B3775">
              <w:rPr>
                <w:sz w:val="24"/>
                <w:szCs w:val="24"/>
                <w:highlight w:val="lightGray"/>
              </w:rPr>
              <w:t>[0.53]</w:t>
            </w:r>
          </w:p>
        </w:tc>
      </w:tr>
      <w:tr w:rsidR="00991009" w:rsidRPr="001B3775" w14:paraId="2167336E" w14:textId="77777777" w:rsidTr="0057240D">
        <w:trPr>
          <w:jc w:val="center"/>
        </w:trPr>
        <w:tc>
          <w:tcPr>
            <w:tcW w:w="2889" w:type="dxa"/>
            <w:vAlign w:val="center"/>
          </w:tcPr>
          <w:p w14:paraId="23C7B5A6" w14:textId="5D2A38CE" w:rsidR="00991009" w:rsidRPr="001B3775" w:rsidRDefault="00991009" w:rsidP="0057240D">
            <w:pPr>
              <w:pStyle w:val="TAC"/>
              <w:rPr>
                <w:rFonts w:eastAsia="Calibri"/>
                <w:sz w:val="24"/>
                <w:szCs w:val="24"/>
                <w:highlight w:val="lightGray"/>
              </w:rPr>
            </w:pPr>
            <w:r w:rsidRPr="001B3775">
              <w:rPr>
                <w:rFonts w:eastAsia="Calibri"/>
                <w:sz w:val="24"/>
                <w:szCs w:val="24"/>
                <w:highlight w:val="lightGray"/>
              </w:rPr>
              <w:t>n77, n78</w:t>
            </w:r>
          </w:p>
        </w:tc>
        <w:tc>
          <w:tcPr>
            <w:tcW w:w="2970" w:type="dxa"/>
            <w:vAlign w:val="center"/>
          </w:tcPr>
          <w:p w14:paraId="3F90645E" w14:textId="744BB1AA" w:rsidR="00991009" w:rsidRPr="001B3775" w:rsidRDefault="00991009" w:rsidP="0057240D">
            <w:pPr>
              <w:pStyle w:val="TAC"/>
              <w:rPr>
                <w:sz w:val="24"/>
                <w:szCs w:val="24"/>
                <w:highlight w:val="lightGray"/>
              </w:rPr>
            </w:pPr>
            <w:r w:rsidRPr="001B3775">
              <w:rPr>
                <w:sz w:val="24"/>
                <w:szCs w:val="24"/>
                <w:highlight w:val="lightGray"/>
              </w:rPr>
              <w:t>[0.</w:t>
            </w:r>
            <w:r w:rsidR="0041414A">
              <w:rPr>
                <w:sz w:val="24"/>
                <w:szCs w:val="24"/>
                <w:highlight w:val="lightGray"/>
              </w:rPr>
              <w:t>6</w:t>
            </w:r>
            <w:r w:rsidRPr="001B3775">
              <w:rPr>
                <w:sz w:val="24"/>
                <w:szCs w:val="24"/>
                <w:highlight w:val="lightGray"/>
              </w:rPr>
              <w:t>1]</w:t>
            </w:r>
          </w:p>
        </w:tc>
      </w:tr>
      <w:tr w:rsidR="00991009" w:rsidRPr="001B3775" w14:paraId="45144DAF" w14:textId="77777777" w:rsidTr="0057240D">
        <w:trPr>
          <w:jc w:val="center"/>
        </w:trPr>
        <w:tc>
          <w:tcPr>
            <w:tcW w:w="5859" w:type="dxa"/>
            <w:gridSpan w:val="2"/>
            <w:vAlign w:val="center"/>
          </w:tcPr>
          <w:p w14:paraId="25041F40" w14:textId="6AEAE066" w:rsidR="00991009" w:rsidRPr="001B3775" w:rsidRDefault="00991009" w:rsidP="0057240D">
            <w:pPr>
              <w:pStyle w:val="TAN"/>
              <w:rPr>
                <w:sz w:val="24"/>
                <w:szCs w:val="24"/>
                <w:highlight w:val="lightGray"/>
              </w:rPr>
            </w:pPr>
            <w:r w:rsidRPr="001B3775">
              <w:rPr>
                <w:sz w:val="24"/>
                <w:szCs w:val="24"/>
                <w:highlight w:val="lightGray"/>
              </w:rPr>
              <w:t>NOTE 1:</w:t>
            </w:r>
            <w:r w:rsidRPr="001B3775">
              <w:rPr>
                <w:sz w:val="24"/>
                <w:szCs w:val="24"/>
                <w:highlight w:val="lightGray"/>
              </w:rPr>
              <w:tab/>
              <w:t>Scaled requirement is for 10 MHz channel bandwidth.</w:t>
            </w:r>
          </w:p>
          <w:p w14:paraId="0F2CCF2B" w14:textId="4FAF8943" w:rsidR="00991009" w:rsidRPr="001B3775" w:rsidRDefault="00991009" w:rsidP="0057240D">
            <w:pPr>
              <w:pStyle w:val="TAN"/>
              <w:rPr>
                <w:sz w:val="24"/>
                <w:szCs w:val="24"/>
              </w:rPr>
            </w:pPr>
            <w:r w:rsidRPr="001B3775">
              <w:rPr>
                <w:sz w:val="24"/>
                <w:szCs w:val="24"/>
                <w:highlight w:val="lightGray"/>
              </w:rPr>
              <w:t>NOTE 2:   Scaled requirement is for 20 MHz channel bandwidth.</w:t>
            </w:r>
          </w:p>
        </w:tc>
      </w:tr>
    </w:tbl>
    <w:p w14:paraId="1827092D" w14:textId="77777777" w:rsidR="00C76963" w:rsidRDefault="00C76963" w:rsidP="00991009">
      <w:pPr>
        <w:pStyle w:val="TH"/>
        <w:jc w:val="left"/>
        <w:rPr>
          <w:rFonts w:ascii="Times New Roman" w:hAnsi="Times New Roman"/>
          <w:sz w:val="24"/>
          <w:szCs w:val="24"/>
        </w:rPr>
      </w:pPr>
    </w:p>
    <w:p w14:paraId="44A1F1FD" w14:textId="2CD21A66" w:rsidR="00DA3ECE" w:rsidRDefault="00DA3ECE" w:rsidP="00DA3ECE">
      <w:pPr>
        <w:pStyle w:val="TH"/>
        <w:jc w:val="left"/>
        <w:rPr>
          <w:rFonts w:ascii="Times New Roman" w:hAnsi="Times New Roman"/>
          <w:sz w:val="24"/>
          <w:szCs w:val="24"/>
        </w:rPr>
      </w:pPr>
      <w:r w:rsidRPr="00C76963">
        <w:rPr>
          <w:rFonts w:ascii="Times New Roman" w:hAnsi="Times New Roman"/>
          <w:sz w:val="24"/>
          <w:szCs w:val="24"/>
        </w:rPr>
        <w:t xml:space="preserve">Proposal </w:t>
      </w:r>
      <w:r w:rsidR="00175A64">
        <w:rPr>
          <w:rFonts w:ascii="Times New Roman" w:hAnsi="Times New Roman"/>
          <w:sz w:val="24"/>
          <w:szCs w:val="24"/>
        </w:rPr>
        <w:t>2</w:t>
      </w:r>
      <w:r w:rsidRPr="00C76963">
        <w:rPr>
          <w:rFonts w:ascii="Times New Roman" w:hAnsi="Times New Roman"/>
          <w:sz w:val="24"/>
          <w:szCs w:val="24"/>
        </w:rPr>
        <w:t xml:space="preserve">: Agree </w:t>
      </w:r>
      <w:r w:rsidR="009D68FA">
        <w:rPr>
          <w:rFonts w:ascii="Times New Roman" w:hAnsi="Times New Roman"/>
          <w:sz w:val="24"/>
          <w:szCs w:val="24"/>
        </w:rPr>
        <w:t>that</w:t>
      </w:r>
      <w:r w:rsidRPr="00C76963">
        <w:rPr>
          <w:rFonts w:ascii="Times New Roman" w:hAnsi="Times New Roman"/>
          <w:sz w:val="24"/>
          <w:szCs w:val="24"/>
        </w:rPr>
        <w:t xml:space="preserve"> an additional allowance</w:t>
      </w:r>
      <w:r w:rsidR="009D68FA">
        <w:rPr>
          <w:rFonts w:ascii="Times New Roman" w:hAnsi="Times New Roman"/>
          <w:sz w:val="24"/>
          <w:szCs w:val="24"/>
        </w:rPr>
        <w:t xml:space="preserve"> is needed</w:t>
      </w:r>
      <w:r w:rsidRPr="00C76963">
        <w:rPr>
          <w:rFonts w:ascii="Times New Roman" w:hAnsi="Times New Roman"/>
          <w:sz w:val="24"/>
          <w:szCs w:val="24"/>
        </w:rPr>
        <w:t xml:space="preserve"> </w:t>
      </w:r>
      <w:r>
        <w:rPr>
          <w:rFonts w:ascii="Times New Roman" w:hAnsi="Times New Roman"/>
          <w:sz w:val="24"/>
          <w:szCs w:val="24"/>
        </w:rPr>
        <w:t xml:space="preserve">to the </w:t>
      </w:r>
      <w:r w:rsidR="009D68FA">
        <w:rPr>
          <w:rFonts w:ascii="Times New Roman" w:hAnsi="Times New Roman"/>
          <w:sz w:val="24"/>
          <w:szCs w:val="24"/>
        </w:rPr>
        <w:t xml:space="preserve">REFSENS RB </w:t>
      </w:r>
      <w:r>
        <w:rPr>
          <w:rFonts w:ascii="Times New Roman" w:hAnsi="Times New Roman"/>
          <w:sz w:val="24"/>
          <w:szCs w:val="24"/>
        </w:rPr>
        <w:t>scaled</w:t>
      </w:r>
      <w:r w:rsidR="009D68FA">
        <w:rPr>
          <w:rFonts w:ascii="Times New Roman" w:hAnsi="Times New Roman"/>
          <w:sz w:val="24"/>
          <w:szCs w:val="24"/>
        </w:rPr>
        <w:t xml:space="preserve"> TRS</w:t>
      </w:r>
      <w:r>
        <w:rPr>
          <w:rFonts w:ascii="Times New Roman" w:hAnsi="Times New Roman"/>
          <w:sz w:val="24"/>
          <w:szCs w:val="24"/>
        </w:rPr>
        <w:t xml:space="preserve"> requirement</w:t>
      </w:r>
      <w:r w:rsidR="009D68FA">
        <w:rPr>
          <w:rFonts w:ascii="Times New Roman" w:hAnsi="Times New Roman"/>
          <w:sz w:val="24"/>
          <w:szCs w:val="24"/>
        </w:rPr>
        <w:t>s</w:t>
      </w:r>
      <w:r w:rsidRPr="00C76963">
        <w:rPr>
          <w:rFonts w:ascii="Times New Roman" w:hAnsi="Times New Roman"/>
          <w:sz w:val="24"/>
          <w:szCs w:val="24"/>
        </w:rPr>
        <w:t xml:space="preserve"> derive</w:t>
      </w:r>
      <w:r w:rsidR="009D68FA">
        <w:rPr>
          <w:rFonts w:ascii="Times New Roman" w:hAnsi="Times New Roman"/>
          <w:sz w:val="24"/>
          <w:szCs w:val="24"/>
        </w:rPr>
        <w:t>d</w:t>
      </w:r>
      <w:r w:rsidRPr="00C76963">
        <w:rPr>
          <w:rFonts w:ascii="Times New Roman" w:hAnsi="Times New Roman"/>
          <w:sz w:val="24"/>
          <w:szCs w:val="24"/>
        </w:rPr>
        <w:t xml:space="preserve"> for n28, n41, n77, n78</w:t>
      </w:r>
      <w:r>
        <w:rPr>
          <w:rFonts w:ascii="Times New Roman" w:hAnsi="Times New Roman"/>
          <w:sz w:val="24"/>
          <w:szCs w:val="24"/>
        </w:rPr>
        <w:t xml:space="preserve"> </w:t>
      </w:r>
      <w:r w:rsidR="009D68FA">
        <w:rPr>
          <w:rFonts w:ascii="Times New Roman" w:hAnsi="Times New Roman"/>
          <w:sz w:val="24"/>
          <w:szCs w:val="24"/>
        </w:rPr>
        <w:t xml:space="preserve">browsing mode </w:t>
      </w:r>
      <w:r w:rsidR="009D68FA">
        <w:rPr>
          <w:rFonts w:ascii="Times New Roman" w:hAnsi="Times New Roman"/>
          <w:sz w:val="24"/>
          <w:szCs w:val="24"/>
        </w:rPr>
        <w:t>for the alternate channel bandwidths</w:t>
      </w:r>
      <w:r>
        <w:rPr>
          <w:rFonts w:ascii="Times New Roman" w:hAnsi="Times New Roman"/>
          <w:sz w:val="24"/>
          <w:szCs w:val="24"/>
        </w:rPr>
        <w:t>.</w:t>
      </w:r>
      <w:r w:rsidRPr="00C76963">
        <w:rPr>
          <w:rFonts w:ascii="Times New Roman" w:hAnsi="Times New Roman"/>
          <w:sz w:val="24"/>
          <w:szCs w:val="24"/>
          <w:vertAlign w:val="superscript"/>
        </w:rPr>
        <w:t xml:space="preserve"> </w:t>
      </w:r>
      <w:r w:rsidRPr="00C76963">
        <w:rPr>
          <w:rFonts w:ascii="Times New Roman" w:hAnsi="Times New Roman"/>
          <w:sz w:val="24"/>
          <w:szCs w:val="24"/>
        </w:rPr>
        <w:t xml:space="preserve">The framework for determining the allowance value can be </w:t>
      </w:r>
      <w:r>
        <w:rPr>
          <w:rFonts w:ascii="Times New Roman" w:hAnsi="Times New Roman"/>
          <w:sz w:val="24"/>
          <w:szCs w:val="24"/>
        </w:rPr>
        <w:t>data-driven i.e. average the delta seen from multiple empirical measurements which companies are encouraged to provide</w:t>
      </w:r>
      <w:r w:rsidRPr="00C76963">
        <w:rPr>
          <w:rFonts w:ascii="Times New Roman" w:hAnsi="Times New Roman"/>
          <w:sz w:val="24"/>
          <w:szCs w:val="24"/>
        </w:rPr>
        <w:t xml:space="preserve">. </w:t>
      </w:r>
    </w:p>
    <w:p w14:paraId="3F752EFA" w14:textId="1D4BAD2C" w:rsidR="00991009" w:rsidRPr="00C76963" w:rsidRDefault="00991009" w:rsidP="00991009">
      <w:pPr>
        <w:pStyle w:val="TH"/>
        <w:jc w:val="left"/>
        <w:rPr>
          <w:rFonts w:ascii="Times New Roman" w:hAnsi="Times New Roman"/>
          <w:sz w:val="24"/>
          <w:szCs w:val="24"/>
          <w:vertAlign w:val="subscript"/>
        </w:rPr>
      </w:pPr>
      <w:r w:rsidRPr="00C76963">
        <w:rPr>
          <w:rFonts w:ascii="Times New Roman" w:hAnsi="Times New Roman"/>
          <w:sz w:val="24"/>
          <w:szCs w:val="24"/>
        </w:rPr>
        <w:t>Allowance for Talk Mode is FFS and can be finalized similarly based on empirical data.</w:t>
      </w:r>
    </w:p>
    <w:p w14:paraId="2679277B" w14:textId="01968454" w:rsidR="00991009" w:rsidRDefault="00991009" w:rsidP="00991009">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w:t>
      </w:r>
      <w:proofErr w:type="spellStart"/>
      <w:r>
        <w:rPr>
          <w:rFonts w:eastAsia="MS Mincho"/>
        </w:rPr>
        <w:t>Center</w:t>
      </w:r>
      <w:proofErr w:type="spellEnd"/>
      <w:r>
        <w:rPr>
          <w:rFonts w:eastAsia="MS Mincho"/>
        </w:rPr>
        <w:t xml:space="preserve"> Frequency setting for alternate channel bandwidth</w:t>
      </w:r>
    </w:p>
    <w:p w14:paraId="0F97C26A" w14:textId="254FD665" w:rsidR="00991009" w:rsidRPr="00991009" w:rsidRDefault="00991009" w:rsidP="00991009">
      <w:pPr>
        <w:rPr>
          <w:rFonts w:eastAsia="MS Mincho"/>
          <w:lang w:val="en-GB"/>
        </w:rPr>
      </w:pPr>
      <w:r>
        <w:rPr>
          <w:rFonts w:eastAsia="MS Mincho"/>
          <w:lang w:val="en-GB"/>
        </w:rPr>
        <w:t xml:space="preserve">The WF from RAN4#110 [1] also provided guidance on the confirmation needed to decide on the </w:t>
      </w:r>
      <w:proofErr w:type="spellStart"/>
      <w:r>
        <w:rPr>
          <w:rFonts w:eastAsia="MS Mincho"/>
          <w:lang w:val="en-GB"/>
        </w:rPr>
        <w:t>center</w:t>
      </w:r>
      <w:proofErr w:type="spellEnd"/>
      <w:r>
        <w:rPr>
          <w:rFonts w:eastAsia="MS Mincho"/>
          <w:lang w:val="en-GB"/>
        </w:rPr>
        <w:t xml:space="preserve"> frequency parameter from among the two options provided.</w:t>
      </w:r>
    </w:p>
    <w:p w14:paraId="51B5BAA7" w14:textId="167F4536" w:rsidR="00991009" w:rsidRPr="00991009" w:rsidRDefault="00991009" w:rsidP="00991009">
      <w:pPr>
        <w:spacing w:before="120" w:after="120"/>
        <w:jc w:val="center"/>
        <w:rPr>
          <w:rFonts w:eastAsia="MS Mincho"/>
        </w:rPr>
      </w:pPr>
      <w:r w:rsidRPr="00991009">
        <w:rPr>
          <w:rFonts w:eastAsia="MS Mincho"/>
          <w:noProof/>
        </w:rPr>
        <w:drawing>
          <wp:inline distT="0" distB="0" distL="0" distR="0" wp14:anchorId="2B8ED38D" wp14:editId="713B3403">
            <wp:extent cx="4446954" cy="2678966"/>
            <wp:effectExtent l="0" t="0" r="0" b="1270"/>
            <wp:docPr id="1245030722"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030722" name="Picture 1" descr="A screenshot of a test&#10;&#10;Description automatically generated"/>
                    <pic:cNvPicPr/>
                  </pic:nvPicPr>
                  <pic:blipFill>
                    <a:blip r:embed="rId12"/>
                    <a:stretch>
                      <a:fillRect/>
                    </a:stretch>
                  </pic:blipFill>
                  <pic:spPr>
                    <a:xfrm>
                      <a:off x="0" y="0"/>
                      <a:ext cx="4464077" cy="2689281"/>
                    </a:xfrm>
                    <a:prstGeom prst="rect">
                      <a:avLst/>
                    </a:prstGeom>
                  </pic:spPr>
                </pic:pic>
              </a:graphicData>
            </a:graphic>
          </wp:inline>
        </w:drawing>
      </w:r>
    </w:p>
    <w:p w14:paraId="14E521E4" w14:textId="0AFCB91E" w:rsidR="00991009" w:rsidRDefault="009D68FA" w:rsidP="00991009">
      <w:pPr>
        <w:spacing w:before="120" w:after="120"/>
        <w:rPr>
          <w:rFonts w:eastAsia="MS Mincho"/>
        </w:rPr>
      </w:pPr>
      <w:r>
        <w:rPr>
          <w:rFonts w:eastAsia="MS Mincho"/>
        </w:rPr>
        <w:t>Again,</w:t>
      </w:r>
      <w:r w:rsidR="00991009">
        <w:rPr>
          <w:rFonts w:eastAsia="MS Mincho"/>
        </w:rPr>
        <w:t xml:space="preserve"> looking at the empirical data collected across the 8 commercial devices referenced above where a 3</w:t>
      </w:r>
      <w:r w:rsidR="00991009" w:rsidRPr="00991009">
        <w:rPr>
          <w:rFonts w:eastAsia="MS Mincho"/>
          <w:vertAlign w:val="superscript"/>
        </w:rPr>
        <w:t>rd</w:t>
      </w:r>
      <w:r w:rsidR="00991009">
        <w:rPr>
          <w:rFonts w:eastAsia="MS Mincho"/>
        </w:rPr>
        <w:t xml:space="preserve"> set of data was collected using the same center frequency for the alternate channel bandwidth as the baseline channel bandwidth. Across all measurements the maximum deviation in measurements noticed was around 0.23 </w:t>
      </w:r>
      <w:proofErr w:type="spellStart"/>
      <w:r w:rsidR="00991009">
        <w:rPr>
          <w:rFonts w:eastAsia="MS Mincho"/>
        </w:rPr>
        <w:t>dB.</w:t>
      </w:r>
      <w:proofErr w:type="spellEnd"/>
      <w:r w:rsidR="00991009">
        <w:rPr>
          <w:rFonts w:eastAsia="MS Mincho"/>
        </w:rPr>
        <w:t xml:space="preserve"> This was within the limits of the variation seen from run to run. </w:t>
      </w:r>
      <w:r>
        <w:rPr>
          <w:rFonts w:eastAsia="MS Mincho"/>
        </w:rPr>
        <w:t>Therefore,</w:t>
      </w:r>
      <w:r w:rsidR="00991009">
        <w:rPr>
          <w:rFonts w:eastAsia="MS Mincho"/>
        </w:rPr>
        <w:t xml:space="preserve"> there is no strong case seen to deviate from the established process of using test frequencies from TS 38.508</w:t>
      </w:r>
      <w:r>
        <w:rPr>
          <w:rFonts w:eastAsia="MS Mincho"/>
        </w:rPr>
        <w:t>-1 (option 1, Case B).</w:t>
      </w:r>
    </w:p>
    <w:p w14:paraId="407AC46B" w14:textId="77777777" w:rsidR="009D68FA" w:rsidRPr="00C76963" w:rsidRDefault="009D68FA" w:rsidP="009D68FA">
      <w:pPr>
        <w:spacing w:before="120" w:after="120"/>
        <w:rPr>
          <w:rFonts w:eastAsia="MS Mincho"/>
          <w:b/>
          <w:bCs/>
        </w:rPr>
      </w:pPr>
      <w:r w:rsidRPr="00C76963">
        <w:rPr>
          <w:rFonts w:eastAsia="MS Mincho"/>
          <w:b/>
          <w:bCs/>
        </w:rPr>
        <w:t xml:space="preserve">Proposal </w:t>
      </w:r>
      <w:r>
        <w:rPr>
          <w:rFonts w:eastAsia="MS Mincho"/>
          <w:b/>
          <w:bCs/>
        </w:rPr>
        <w:t>3</w:t>
      </w:r>
      <w:r w:rsidRPr="00C76963">
        <w:rPr>
          <w:rFonts w:eastAsia="MS Mincho"/>
          <w:b/>
          <w:bCs/>
        </w:rPr>
        <w:t xml:space="preserve">: </w:t>
      </w:r>
      <w:r>
        <w:rPr>
          <w:rFonts w:eastAsia="MS Mincho"/>
          <w:b/>
          <w:bCs/>
        </w:rPr>
        <w:t>A</w:t>
      </w:r>
      <w:r w:rsidRPr="00C76963">
        <w:rPr>
          <w:rFonts w:eastAsia="MS Mincho"/>
          <w:b/>
          <w:bCs/>
        </w:rPr>
        <w:t xml:space="preserve">gree </w:t>
      </w:r>
      <w:r>
        <w:rPr>
          <w:rFonts w:eastAsia="MS Mincho"/>
          <w:b/>
          <w:bCs/>
        </w:rPr>
        <w:t>to use</w:t>
      </w:r>
      <w:r w:rsidRPr="00C76963">
        <w:rPr>
          <w:rFonts w:eastAsia="MS Mincho"/>
          <w:b/>
          <w:bCs/>
        </w:rPr>
        <w:t xml:space="preserve"> test frequencies </w:t>
      </w:r>
      <w:r>
        <w:rPr>
          <w:rFonts w:eastAsia="MS Mincho"/>
          <w:b/>
          <w:bCs/>
        </w:rPr>
        <w:t>defined in TS 38.508-1</w:t>
      </w:r>
      <w:r w:rsidRPr="00C76963">
        <w:rPr>
          <w:rFonts w:eastAsia="MS Mincho"/>
          <w:b/>
          <w:bCs/>
        </w:rPr>
        <w:t xml:space="preserve"> for the alternate channel bandwidths.</w:t>
      </w:r>
    </w:p>
    <w:p w14:paraId="7819C041" w14:textId="559CEB2A" w:rsidR="00991009" w:rsidRDefault="00991009" w:rsidP="00991009">
      <w:pPr>
        <w:pStyle w:val="Heading2"/>
        <w:rPr>
          <w:rFonts w:eastAsia="MS Mincho"/>
        </w:rPr>
      </w:pPr>
      <w:r>
        <w:rPr>
          <w:rFonts w:eastAsia="MS Mincho"/>
        </w:rPr>
        <w:lastRenderedPageBreak/>
        <w:t xml:space="preserve">2.3 Definition of PC3 requirements based on </w:t>
      </w:r>
      <w:proofErr w:type="gramStart"/>
      <w:r>
        <w:rPr>
          <w:rFonts w:eastAsia="MS Mincho"/>
        </w:rPr>
        <w:t>PC2</w:t>
      </w:r>
      <w:proofErr w:type="gramEnd"/>
    </w:p>
    <w:p w14:paraId="6836A17A" w14:textId="5B29BB96" w:rsidR="00991009" w:rsidRPr="00991009" w:rsidRDefault="00991009" w:rsidP="00991009">
      <w:pPr>
        <w:rPr>
          <w:rFonts w:eastAsia="MS Mincho"/>
          <w:lang w:val="en-GB"/>
        </w:rPr>
      </w:pPr>
      <w:r>
        <w:rPr>
          <w:rFonts w:eastAsia="MS Mincho"/>
          <w:lang w:val="en-GB"/>
        </w:rPr>
        <w:t xml:space="preserve">The way forward [1] for TRP TRS enhancements suggested to provide inputs on the mechanism of derivation of </w:t>
      </w:r>
      <w:proofErr w:type="gramStart"/>
      <w:r>
        <w:rPr>
          <w:rFonts w:eastAsia="MS Mincho"/>
          <w:lang w:val="en-GB"/>
        </w:rPr>
        <w:t>PC3</w:t>
      </w:r>
      <w:proofErr w:type="gramEnd"/>
    </w:p>
    <w:p w14:paraId="2AA4D339" w14:textId="78B8D715" w:rsidR="00991009" w:rsidRDefault="00991009" w:rsidP="00991009">
      <w:pPr>
        <w:spacing w:before="120" w:after="120"/>
        <w:jc w:val="center"/>
        <w:rPr>
          <w:rFonts w:eastAsia="MS Mincho"/>
        </w:rPr>
      </w:pPr>
      <w:r w:rsidRPr="00991009">
        <w:rPr>
          <w:rFonts w:eastAsia="MS Mincho"/>
          <w:noProof/>
        </w:rPr>
        <w:drawing>
          <wp:inline distT="0" distB="0" distL="0" distR="0" wp14:anchorId="662040D4" wp14:editId="4F1FEA86">
            <wp:extent cx="6584108" cy="936978"/>
            <wp:effectExtent l="0" t="0" r="0" b="3175"/>
            <wp:docPr id="378107220"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7220" name="Picture 1" descr="A white background with black text&#10;&#10;Description automatically generated"/>
                    <pic:cNvPicPr/>
                  </pic:nvPicPr>
                  <pic:blipFill>
                    <a:blip r:embed="rId13"/>
                    <a:stretch>
                      <a:fillRect/>
                    </a:stretch>
                  </pic:blipFill>
                  <pic:spPr>
                    <a:xfrm>
                      <a:off x="0" y="0"/>
                      <a:ext cx="6724018" cy="956889"/>
                    </a:xfrm>
                    <a:prstGeom prst="rect">
                      <a:avLst/>
                    </a:prstGeom>
                  </pic:spPr>
                </pic:pic>
              </a:graphicData>
            </a:graphic>
          </wp:inline>
        </w:drawing>
      </w:r>
    </w:p>
    <w:p w14:paraId="2005A55A" w14:textId="38FAE4F1" w:rsidR="00991009" w:rsidRPr="00C76963" w:rsidRDefault="00991009" w:rsidP="00C76963">
      <w:pPr>
        <w:spacing w:before="120" w:after="120"/>
        <w:rPr>
          <w:rFonts w:eastAsia="MS Mincho"/>
          <w:b/>
          <w:bCs/>
        </w:rPr>
      </w:pPr>
      <w:r w:rsidRPr="00C76963">
        <w:rPr>
          <w:rFonts w:eastAsia="MS Mincho"/>
          <w:b/>
          <w:bCs/>
        </w:rPr>
        <w:t>Proposal</w:t>
      </w:r>
      <w:r w:rsidR="00C76963" w:rsidRPr="00C76963">
        <w:rPr>
          <w:rFonts w:eastAsia="MS Mincho"/>
          <w:b/>
          <w:bCs/>
        </w:rPr>
        <w:t xml:space="preserve"> </w:t>
      </w:r>
      <w:r w:rsidR="00175A64">
        <w:rPr>
          <w:rFonts w:eastAsia="MS Mincho"/>
          <w:b/>
          <w:bCs/>
        </w:rPr>
        <w:t>4</w:t>
      </w:r>
      <w:r w:rsidR="00C76963" w:rsidRPr="00C76963">
        <w:rPr>
          <w:rFonts w:eastAsia="MS Mincho"/>
          <w:b/>
          <w:bCs/>
        </w:rPr>
        <w:t>:</w:t>
      </w:r>
      <w:r w:rsidRPr="00C76963">
        <w:rPr>
          <w:rFonts w:eastAsia="MS Mincho"/>
          <w:b/>
          <w:bCs/>
        </w:rPr>
        <w:t xml:space="preserve"> </w:t>
      </w:r>
      <w:r w:rsidRPr="00C76963">
        <w:rPr>
          <w:rFonts w:eastAsia="SimSun"/>
          <w:b/>
          <w:bCs/>
          <w:lang w:eastAsia="zh-CN"/>
        </w:rPr>
        <w:t>For TDD bands, specify PC3 TRP spec with 3dB offset based on corresponding PC2 TRP spec. Evaluate FDD separately.</w:t>
      </w:r>
    </w:p>
    <w:p w14:paraId="3081791C" w14:textId="2C187161" w:rsidR="00733D9A" w:rsidRDefault="00733D9A" w:rsidP="00733D9A">
      <w:pPr>
        <w:pStyle w:val="Heading2"/>
        <w:rPr>
          <w:rFonts w:eastAsia="MS Mincho"/>
        </w:rPr>
      </w:pPr>
      <w:r w:rsidRPr="00442FDC">
        <w:rPr>
          <w:rFonts w:eastAsia="MS Mincho" w:hint="eastAsia"/>
        </w:rPr>
        <w:t>2.</w:t>
      </w:r>
      <w:r w:rsidR="00C76963">
        <w:rPr>
          <w:rFonts w:eastAsia="MS Mincho"/>
        </w:rPr>
        <w:t>4</w:t>
      </w:r>
      <w:r w:rsidRPr="00442FDC">
        <w:rPr>
          <w:rFonts w:eastAsia="MS Mincho" w:hint="eastAsia"/>
        </w:rPr>
        <w:t xml:space="preserve"> </w:t>
      </w:r>
      <w:r>
        <w:rPr>
          <w:rFonts w:eastAsia="MS Mincho"/>
        </w:rPr>
        <w:t xml:space="preserve">    </w:t>
      </w:r>
      <w:r w:rsidR="00991009">
        <w:rPr>
          <w:rFonts w:eastAsia="MS Mincho"/>
        </w:rPr>
        <w:t xml:space="preserve">RAN5 LS on </w:t>
      </w:r>
      <w:r>
        <w:rPr>
          <w:rFonts w:eastAsia="MS Mincho"/>
        </w:rPr>
        <w:t xml:space="preserve">TT for </w:t>
      </w:r>
      <w:r w:rsidR="00991009">
        <w:rPr>
          <w:rFonts w:eastAsia="MS Mincho"/>
        </w:rPr>
        <w:t xml:space="preserve">Rel-18 </w:t>
      </w:r>
      <w:r>
        <w:rPr>
          <w:rFonts w:eastAsia="MS Mincho"/>
        </w:rPr>
        <w:t xml:space="preserve">NR FR1 TRP/TRS </w:t>
      </w:r>
    </w:p>
    <w:p w14:paraId="737B1973" w14:textId="27E37219" w:rsidR="00650DF5" w:rsidRDefault="00650DF5" w:rsidP="00650DF5">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r w:rsidR="00D65EA8">
        <w:rPr>
          <w:lang w:eastAsia="ja-JP"/>
        </w:rPr>
        <w:t xml:space="preserve"> </w:t>
      </w:r>
      <w:r w:rsidRPr="00CE1D57">
        <w:rPr>
          <w:lang w:eastAsia="ja-JP"/>
        </w:rPr>
        <w:t>The test tolerance is the amount by which the minimum requirement is relaxed, to give the test requirement. In many cases the amount of this relaxation is equal to the test system uncertainty, so that the test system will not fail a good device under test, within the agreed confidence limits.</w:t>
      </w:r>
      <w:r>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6266E106" w14:textId="77777777" w:rsidR="00991009" w:rsidRDefault="00991009" w:rsidP="00650DF5">
      <w:pPr>
        <w:tabs>
          <w:tab w:val="num" w:pos="720"/>
        </w:tabs>
        <w:jc w:val="both"/>
        <w:rPr>
          <w:lang w:eastAsia="ja-JP"/>
        </w:rPr>
      </w:pPr>
    </w:p>
    <w:p w14:paraId="5E53854F" w14:textId="27B01319" w:rsidR="00991009" w:rsidRDefault="00991009" w:rsidP="00991009">
      <w:pPr>
        <w:tabs>
          <w:tab w:val="num" w:pos="720"/>
        </w:tabs>
        <w:jc w:val="both"/>
        <w:rPr>
          <w:lang w:eastAsia="ja-JP"/>
        </w:rPr>
      </w:pPr>
      <w:r>
        <w:rPr>
          <w:lang w:eastAsia="ja-JP"/>
        </w:rPr>
        <w:t xml:space="preserve">The Test Tolerances in RAN5 test specifications are defined as a fraction of the MU. This was the process as recently as the completed test specification for Release 17 NR FR1 TRP TRS [7]. This approach is </w:t>
      </w:r>
      <w:proofErr w:type="gramStart"/>
      <w:r>
        <w:rPr>
          <w:lang w:eastAsia="ja-JP"/>
        </w:rPr>
        <w:t>due to the fact that</w:t>
      </w:r>
      <w:proofErr w:type="gramEnd"/>
      <w:r>
        <w:rPr>
          <w:lang w:eastAsia="ja-JP"/>
        </w:rPr>
        <w:t xml:space="preserve"> the TT values can adjust accordingly with</w:t>
      </w:r>
      <w:r w:rsidR="009D68FA">
        <w:rPr>
          <w:lang w:eastAsia="ja-JP"/>
        </w:rPr>
        <w:t xml:space="preserve"> optimization </w:t>
      </w:r>
      <w:r>
        <w:rPr>
          <w:lang w:eastAsia="ja-JP"/>
        </w:rPr>
        <w:t>in MU values. In theory, even though the MU values might increase with complexity of test systems the endeavor of the ecosystem has been to optimize and reduce MU over time. Therefore, it is fair if the TT adjusts lower in case the MU values, and this will satisfy operator/network requests for UEs to keep fair share of the TT.</w:t>
      </w:r>
    </w:p>
    <w:p w14:paraId="40502977" w14:textId="77777777" w:rsidR="00991009" w:rsidRDefault="00991009" w:rsidP="00650DF5">
      <w:pPr>
        <w:tabs>
          <w:tab w:val="num" w:pos="720"/>
        </w:tabs>
        <w:jc w:val="both"/>
        <w:rPr>
          <w:lang w:eastAsia="ja-JP"/>
        </w:rPr>
      </w:pPr>
    </w:p>
    <w:p w14:paraId="2E28EC3E" w14:textId="12C78806" w:rsidR="00991009" w:rsidRDefault="00991009" w:rsidP="00650DF5">
      <w:pPr>
        <w:tabs>
          <w:tab w:val="num" w:pos="720"/>
        </w:tabs>
        <w:jc w:val="both"/>
        <w:rPr>
          <w:lang w:eastAsia="ja-JP"/>
        </w:rPr>
      </w:pPr>
      <w:r>
        <w:rPr>
          <w:lang w:eastAsia="ja-JP"/>
        </w:rPr>
        <w:t xml:space="preserve">In Release 17, RAN4 successfully discussed and provided a TT recommendation (as 0.62 MU and an absolute value TT as well) </w:t>
      </w:r>
      <w:r w:rsidR="009D68FA">
        <w:rPr>
          <w:lang w:eastAsia="ja-JP"/>
        </w:rPr>
        <w:t xml:space="preserve">to RAN5 </w:t>
      </w:r>
      <w:r>
        <w:rPr>
          <w:lang w:eastAsia="ja-JP"/>
        </w:rPr>
        <w:t xml:space="preserve">as part of the core requirements defined for the Browse Mode for n41 and n78. </w:t>
      </w:r>
    </w:p>
    <w:p w14:paraId="75330134" w14:textId="77777777" w:rsidR="00991009" w:rsidRDefault="00991009" w:rsidP="00650DF5">
      <w:pPr>
        <w:tabs>
          <w:tab w:val="num" w:pos="720"/>
        </w:tabs>
        <w:jc w:val="both"/>
        <w:rPr>
          <w:lang w:eastAsia="ja-JP"/>
        </w:rPr>
      </w:pPr>
    </w:p>
    <w:p w14:paraId="025BD4FF" w14:textId="0E5A13C1" w:rsidR="00D65EA8" w:rsidRPr="00C76963" w:rsidRDefault="00D65EA8" w:rsidP="00650DF5">
      <w:pPr>
        <w:tabs>
          <w:tab w:val="num" w:pos="720"/>
        </w:tabs>
        <w:jc w:val="both"/>
        <w:rPr>
          <w:b/>
          <w:bCs/>
          <w:i/>
          <w:iCs/>
          <w:lang w:eastAsia="ja-JP"/>
        </w:rPr>
      </w:pPr>
      <w:r w:rsidRPr="00C76963">
        <w:rPr>
          <w:b/>
          <w:bCs/>
          <w:i/>
          <w:iCs/>
          <w:lang w:eastAsia="ja-JP"/>
        </w:rPr>
        <w:t>Observation</w:t>
      </w:r>
      <w:r w:rsidR="00144FFD" w:rsidRPr="00C76963">
        <w:rPr>
          <w:b/>
          <w:bCs/>
          <w:i/>
          <w:iCs/>
          <w:lang w:eastAsia="ja-JP"/>
        </w:rPr>
        <w:t xml:space="preserve"> </w:t>
      </w:r>
      <w:r w:rsidR="00C76963" w:rsidRPr="00C76963">
        <w:rPr>
          <w:b/>
          <w:bCs/>
          <w:i/>
          <w:iCs/>
          <w:lang w:eastAsia="ja-JP"/>
        </w:rPr>
        <w:t>2</w:t>
      </w:r>
      <w:r w:rsidRPr="00C76963">
        <w:rPr>
          <w:b/>
          <w:bCs/>
          <w:i/>
          <w:iCs/>
          <w:lang w:eastAsia="ja-JP"/>
        </w:rPr>
        <w:t xml:space="preserve">: </w:t>
      </w:r>
      <w:r w:rsidR="00991009" w:rsidRPr="00C76963">
        <w:rPr>
          <w:b/>
          <w:bCs/>
          <w:i/>
          <w:iCs/>
          <w:lang w:eastAsia="ja-JP"/>
        </w:rPr>
        <w:t xml:space="preserve">RAN4 successfully discussed and provided a TT recommendation </w:t>
      </w:r>
      <w:r w:rsidR="009D68FA">
        <w:rPr>
          <w:b/>
          <w:bCs/>
          <w:i/>
          <w:iCs/>
          <w:lang w:eastAsia="ja-JP"/>
        </w:rPr>
        <w:t xml:space="preserve">to RAN5 </w:t>
      </w:r>
      <w:r w:rsidR="00991009" w:rsidRPr="00C76963">
        <w:rPr>
          <w:b/>
          <w:bCs/>
          <w:i/>
          <w:iCs/>
          <w:lang w:eastAsia="ja-JP"/>
        </w:rPr>
        <w:t>as part of the Release 17 core requirements defined for the Browse Mode scenarios for n41 and n78. The aspect of provide Release 18 TT recommendation is already part of the Release 18 FR1 TRP TRS enhancements work item.</w:t>
      </w:r>
    </w:p>
    <w:p w14:paraId="2CE7436C" w14:textId="77777777" w:rsidR="00991009" w:rsidRDefault="00991009" w:rsidP="00650DF5">
      <w:pPr>
        <w:tabs>
          <w:tab w:val="num" w:pos="720"/>
        </w:tabs>
        <w:jc w:val="both"/>
        <w:rPr>
          <w:lang w:eastAsia="ja-JP"/>
        </w:rPr>
      </w:pPr>
    </w:p>
    <w:p w14:paraId="3DC058CD" w14:textId="19D473EA" w:rsidR="00991009" w:rsidRDefault="00991009" w:rsidP="00650DF5">
      <w:pPr>
        <w:tabs>
          <w:tab w:val="num" w:pos="720"/>
        </w:tabs>
        <w:jc w:val="both"/>
        <w:rPr>
          <w:lang w:eastAsia="ja-JP"/>
        </w:rPr>
      </w:pPr>
      <w:r>
        <w:rPr>
          <w:lang w:eastAsia="ja-JP"/>
        </w:rPr>
        <w:t xml:space="preserve">It should therefore be straightforward to leverage the Release 17 Browsing Mode TT (defined both as absolute value and fraction as in Release17) and include a TT recommendation for Browsing Mode along with Release 18 requirements. </w:t>
      </w:r>
    </w:p>
    <w:p w14:paraId="740DB133" w14:textId="77777777" w:rsidR="00991009" w:rsidRPr="00C76963" w:rsidRDefault="00991009" w:rsidP="00650DF5">
      <w:pPr>
        <w:tabs>
          <w:tab w:val="num" w:pos="720"/>
        </w:tabs>
        <w:jc w:val="both"/>
        <w:rPr>
          <w:b/>
          <w:bCs/>
          <w:i/>
          <w:iCs/>
          <w:lang w:eastAsia="ja-JP"/>
        </w:rPr>
      </w:pPr>
    </w:p>
    <w:p w14:paraId="4B002998" w14:textId="69131467" w:rsidR="00991009" w:rsidRPr="00C76963" w:rsidRDefault="00991009" w:rsidP="00650DF5">
      <w:pPr>
        <w:tabs>
          <w:tab w:val="num" w:pos="720"/>
        </w:tabs>
        <w:jc w:val="both"/>
        <w:rPr>
          <w:b/>
          <w:bCs/>
          <w:i/>
          <w:iCs/>
          <w:lang w:eastAsia="ja-JP"/>
        </w:rPr>
      </w:pPr>
      <w:r w:rsidRPr="00C76963">
        <w:rPr>
          <w:b/>
          <w:bCs/>
          <w:i/>
          <w:iCs/>
          <w:lang w:eastAsia="ja-JP"/>
        </w:rPr>
        <w:t xml:space="preserve">Observation </w:t>
      </w:r>
      <w:r w:rsidR="00C76963" w:rsidRPr="00C76963">
        <w:rPr>
          <w:b/>
          <w:bCs/>
          <w:i/>
          <w:iCs/>
          <w:lang w:eastAsia="ja-JP"/>
        </w:rPr>
        <w:t>3</w:t>
      </w:r>
      <w:r w:rsidRPr="00C76963">
        <w:rPr>
          <w:b/>
          <w:bCs/>
          <w:i/>
          <w:iCs/>
          <w:lang w:eastAsia="ja-JP"/>
        </w:rPr>
        <w:t>: The definition of TT as a fraction of MU was useful since the MU is eventually defined separately for &lt;3 GHz and &gt;=3 GHz.</w:t>
      </w:r>
    </w:p>
    <w:p w14:paraId="3692C144" w14:textId="370D2E70" w:rsidR="00D65EA8" w:rsidRDefault="00D65EA8" w:rsidP="00650DF5">
      <w:pPr>
        <w:tabs>
          <w:tab w:val="num" w:pos="720"/>
        </w:tabs>
        <w:jc w:val="both"/>
        <w:rPr>
          <w:lang w:eastAsia="ja-JP"/>
        </w:rPr>
      </w:pPr>
    </w:p>
    <w:p w14:paraId="76BC73BD" w14:textId="282B40EE" w:rsidR="00144FFD" w:rsidRPr="00C76963" w:rsidRDefault="00144FFD" w:rsidP="00650DF5">
      <w:pPr>
        <w:tabs>
          <w:tab w:val="num" w:pos="720"/>
        </w:tabs>
        <w:jc w:val="both"/>
        <w:rPr>
          <w:b/>
          <w:bCs/>
          <w:i/>
          <w:iCs/>
          <w:lang w:eastAsia="ja-JP"/>
        </w:rPr>
      </w:pPr>
      <w:r w:rsidRPr="00C76963">
        <w:rPr>
          <w:b/>
          <w:bCs/>
          <w:i/>
          <w:iCs/>
          <w:lang w:eastAsia="ja-JP"/>
        </w:rPr>
        <w:t xml:space="preserve">Observation </w:t>
      </w:r>
      <w:r w:rsidR="00C76963" w:rsidRPr="00C76963">
        <w:rPr>
          <w:b/>
          <w:bCs/>
          <w:i/>
          <w:iCs/>
          <w:lang w:eastAsia="ja-JP"/>
        </w:rPr>
        <w:t>4</w:t>
      </w:r>
      <w:r w:rsidRPr="00C76963">
        <w:rPr>
          <w:b/>
          <w:bCs/>
          <w:i/>
          <w:iCs/>
          <w:lang w:eastAsia="ja-JP"/>
        </w:rPr>
        <w:t>: The NR FR1 TRP TRS MU recommendation</w:t>
      </w:r>
      <w:r w:rsidR="00991009" w:rsidRPr="00C76963">
        <w:rPr>
          <w:b/>
          <w:bCs/>
          <w:i/>
          <w:iCs/>
          <w:lang w:eastAsia="ja-JP"/>
        </w:rPr>
        <w:t xml:space="preserve"> for Talk Mode MU is available</w:t>
      </w:r>
      <w:r w:rsidRPr="00C76963">
        <w:rPr>
          <w:b/>
          <w:bCs/>
          <w:i/>
          <w:iCs/>
          <w:lang w:eastAsia="ja-JP"/>
        </w:rPr>
        <w:t xml:space="preserve"> in TR 38.</w:t>
      </w:r>
      <w:r w:rsidR="00991009" w:rsidRPr="00C76963">
        <w:rPr>
          <w:b/>
          <w:bCs/>
          <w:i/>
          <w:iCs/>
          <w:lang w:eastAsia="ja-JP"/>
        </w:rPr>
        <w:t>161</w:t>
      </w:r>
      <w:r w:rsidRPr="00C76963">
        <w:rPr>
          <w:b/>
          <w:bCs/>
          <w:i/>
          <w:iCs/>
          <w:lang w:eastAsia="ja-JP"/>
        </w:rPr>
        <w:t xml:space="preserve"> </w:t>
      </w:r>
      <w:r w:rsidR="00991009" w:rsidRPr="00C76963">
        <w:rPr>
          <w:b/>
          <w:bCs/>
          <w:i/>
          <w:iCs/>
          <w:lang w:eastAsia="ja-JP"/>
        </w:rPr>
        <w:t>[1]. Considering the current recommended MU value for Talk Mode is not significantly higher, the recommendation for TT (0.62*MU) should</w:t>
      </w:r>
      <w:r w:rsidR="009D68FA">
        <w:rPr>
          <w:b/>
          <w:bCs/>
          <w:i/>
          <w:iCs/>
          <w:lang w:eastAsia="ja-JP"/>
        </w:rPr>
        <w:t xml:space="preserve"> also</w:t>
      </w:r>
      <w:r w:rsidR="00991009" w:rsidRPr="00C76963">
        <w:rPr>
          <w:b/>
          <w:bCs/>
          <w:i/>
          <w:iCs/>
          <w:lang w:eastAsia="ja-JP"/>
        </w:rPr>
        <w:t xml:space="preserve"> hold good for Talk Mode. </w:t>
      </w:r>
    </w:p>
    <w:p w14:paraId="22F38144" w14:textId="55D973D1" w:rsidR="00252298" w:rsidRDefault="00252298" w:rsidP="00650DF5">
      <w:pPr>
        <w:tabs>
          <w:tab w:val="num" w:pos="720"/>
        </w:tabs>
        <w:jc w:val="both"/>
        <w:rPr>
          <w:lang w:eastAsia="ja-JP"/>
        </w:rPr>
      </w:pPr>
    </w:p>
    <w:p w14:paraId="1B3E783E" w14:textId="517C488C" w:rsidR="00991009" w:rsidRDefault="00252298" w:rsidP="00650DF5">
      <w:pPr>
        <w:tabs>
          <w:tab w:val="num" w:pos="720"/>
        </w:tabs>
        <w:jc w:val="both"/>
        <w:rPr>
          <w:b/>
          <w:bCs/>
          <w:lang w:eastAsia="ja-JP"/>
        </w:rPr>
      </w:pPr>
      <w:r w:rsidRPr="00144FFD">
        <w:rPr>
          <w:b/>
          <w:bCs/>
          <w:lang w:eastAsia="ja-JP"/>
        </w:rPr>
        <w:lastRenderedPageBreak/>
        <w:t xml:space="preserve">Proposal </w:t>
      </w:r>
      <w:r w:rsidR="00175A64">
        <w:rPr>
          <w:b/>
          <w:bCs/>
          <w:lang w:eastAsia="ja-JP"/>
        </w:rPr>
        <w:t>5</w:t>
      </w:r>
      <w:r w:rsidRPr="00144FFD">
        <w:rPr>
          <w:b/>
          <w:bCs/>
          <w:lang w:eastAsia="ja-JP"/>
        </w:rPr>
        <w:t xml:space="preserve">: </w:t>
      </w:r>
      <w:r w:rsidR="00C76963">
        <w:rPr>
          <w:b/>
          <w:bCs/>
          <w:lang w:eastAsia="ja-JP"/>
        </w:rPr>
        <w:t>As response to RAN5 LS, a</w:t>
      </w:r>
      <w:r w:rsidR="00991009">
        <w:rPr>
          <w:b/>
          <w:bCs/>
          <w:lang w:eastAsia="ja-JP"/>
        </w:rPr>
        <w:t xml:space="preserve">gree that RAN4 shall provide a TT recommendation as part of the Release 18 requirements package, </w:t>
      </w:r>
      <w:r w:rsidR="00C76963">
        <w:rPr>
          <w:b/>
          <w:bCs/>
          <w:lang w:eastAsia="ja-JP"/>
        </w:rPr>
        <w:t>aligning with Release 17 approach</w:t>
      </w:r>
      <w:r w:rsidR="00C76963" w:rsidRPr="00144FFD">
        <w:rPr>
          <w:b/>
          <w:bCs/>
          <w:lang w:eastAsia="ja-JP"/>
        </w:rPr>
        <w:t>.</w:t>
      </w:r>
    </w:p>
    <w:p w14:paraId="40EF4057" w14:textId="77777777" w:rsidR="00991009" w:rsidRDefault="00991009" w:rsidP="00650DF5">
      <w:pPr>
        <w:tabs>
          <w:tab w:val="num" w:pos="720"/>
        </w:tabs>
        <w:jc w:val="both"/>
        <w:rPr>
          <w:b/>
          <w:bCs/>
          <w:lang w:eastAsia="ja-JP"/>
        </w:rPr>
      </w:pPr>
    </w:p>
    <w:p w14:paraId="1F6545A4" w14:textId="6EE5995D" w:rsidR="00252298" w:rsidRPr="00144FFD" w:rsidRDefault="00991009" w:rsidP="00650DF5">
      <w:pPr>
        <w:tabs>
          <w:tab w:val="num" w:pos="720"/>
        </w:tabs>
        <w:jc w:val="both"/>
        <w:rPr>
          <w:b/>
          <w:bCs/>
          <w:lang w:eastAsia="ja-JP"/>
        </w:rPr>
      </w:pPr>
      <w:r>
        <w:rPr>
          <w:b/>
          <w:bCs/>
          <w:lang w:eastAsia="ja-JP"/>
        </w:rPr>
        <w:t xml:space="preserve">Proposal </w:t>
      </w:r>
      <w:r w:rsidR="00175A64">
        <w:rPr>
          <w:b/>
          <w:bCs/>
          <w:lang w:eastAsia="ja-JP"/>
        </w:rPr>
        <w:t>6</w:t>
      </w:r>
      <w:r>
        <w:rPr>
          <w:b/>
          <w:bCs/>
          <w:lang w:eastAsia="ja-JP"/>
        </w:rPr>
        <w:t xml:space="preserve">: </w:t>
      </w:r>
      <w:r w:rsidR="00252298" w:rsidRPr="00144FFD">
        <w:rPr>
          <w:b/>
          <w:bCs/>
          <w:lang w:eastAsia="ja-JP"/>
        </w:rPr>
        <w:t>Propose</w:t>
      </w:r>
      <w:r w:rsidR="00144FFD">
        <w:rPr>
          <w:b/>
          <w:bCs/>
          <w:lang w:eastAsia="ja-JP"/>
        </w:rPr>
        <w:t xml:space="preserve"> recommended</w:t>
      </w:r>
      <w:r w:rsidR="00252298" w:rsidRPr="00144FFD">
        <w:rPr>
          <w:b/>
          <w:bCs/>
          <w:lang w:eastAsia="ja-JP"/>
        </w:rPr>
        <w:t xml:space="preserve"> TT as a fraction/ration of MU </w:t>
      </w:r>
      <w:r>
        <w:rPr>
          <w:b/>
          <w:bCs/>
          <w:lang w:eastAsia="ja-JP"/>
        </w:rPr>
        <w:t xml:space="preserve">so that TT can be computed, like MU for &lt; 3GHz and &gt;= 3 GHz, </w:t>
      </w:r>
      <w:r w:rsidR="00C76963">
        <w:rPr>
          <w:b/>
          <w:bCs/>
          <w:lang w:eastAsia="ja-JP"/>
        </w:rPr>
        <w:t xml:space="preserve">aligning with </w:t>
      </w:r>
      <w:r>
        <w:rPr>
          <w:b/>
          <w:bCs/>
          <w:lang w:eastAsia="ja-JP"/>
        </w:rPr>
        <w:t>Release 17</w:t>
      </w:r>
      <w:r w:rsidR="00C76963">
        <w:rPr>
          <w:b/>
          <w:bCs/>
          <w:lang w:eastAsia="ja-JP"/>
        </w:rPr>
        <w:t xml:space="preserve"> approach</w:t>
      </w:r>
      <w:r w:rsidR="00252298" w:rsidRPr="00144FFD">
        <w:rPr>
          <w:b/>
          <w:bCs/>
          <w:lang w:eastAsia="ja-JP"/>
        </w:rPr>
        <w:t>.</w:t>
      </w:r>
    </w:p>
    <w:p w14:paraId="7A457654" w14:textId="77777777" w:rsidR="00252298" w:rsidRDefault="00252298" w:rsidP="00650DF5">
      <w:pPr>
        <w:tabs>
          <w:tab w:val="num" w:pos="720"/>
        </w:tabs>
        <w:jc w:val="both"/>
        <w:rPr>
          <w:lang w:eastAsia="ja-JP"/>
        </w:rPr>
      </w:pPr>
    </w:p>
    <w:p w14:paraId="5172B34F" w14:textId="2F678FE1" w:rsidR="00252298" w:rsidRDefault="00252298" w:rsidP="00650DF5">
      <w:pPr>
        <w:tabs>
          <w:tab w:val="num" w:pos="720"/>
        </w:tabs>
        <w:jc w:val="both"/>
        <w:rPr>
          <w:lang w:eastAsia="ja-JP"/>
        </w:rPr>
      </w:pPr>
      <w:r>
        <w:rPr>
          <w:lang w:eastAsia="ja-JP"/>
        </w:rPr>
        <w:t>The 3GPP RAN4 lab alignment campaign provided some very important data points on the actual measurement spread among volunteer labs on the same set of lab alignment device</w:t>
      </w:r>
      <w:r w:rsidR="00991009">
        <w:rPr>
          <w:lang w:eastAsia="ja-JP"/>
        </w:rPr>
        <w:t>s</w:t>
      </w:r>
      <w:r>
        <w:rPr>
          <w:lang w:eastAsia="ja-JP"/>
        </w:rPr>
        <w:t>.</w:t>
      </w:r>
    </w:p>
    <w:p w14:paraId="39BCA65A" w14:textId="15468B23" w:rsidR="00252298" w:rsidRDefault="00252298" w:rsidP="00650DF5">
      <w:pPr>
        <w:tabs>
          <w:tab w:val="num" w:pos="720"/>
        </w:tabs>
        <w:jc w:val="both"/>
        <w:rPr>
          <w:lang w:eastAsia="ja-JP"/>
        </w:rPr>
      </w:pPr>
    </w:p>
    <w:p w14:paraId="4E547948" w14:textId="35550606" w:rsidR="00252298" w:rsidRDefault="00252298" w:rsidP="00650DF5">
      <w:pPr>
        <w:tabs>
          <w:tab w:val="num" w:pos="720"/>
        </w:tabs>
        <w:jc w:val="both"/>
        <w:rPr>
          <w:lang w:eastAsia="ja-JP"/>
        </w:rPr>
      </w:pPr>
      <w:r>
        <w:rPr>
          <w:lang w:eastAsia="ja-JP"/>
        </w:rPr>
        <w:t>For the Lab Alignment Pass/Fail criteria +/- 0.75 * MU was considered as a threshold. Since this value incorporates the uncertainty in measurements and gave a good bound on the same, this can be one option as far as test tolerance recommendation is concerned.</w:t>
      </w:r>
      <w:r w:rsidR="00991009">
        <w:rPr>
          <w:lang w:eastAsia="ja-JP"/>
        </w:rPr>
        <w:t xml:space="preserve"> But a tighter TT threshold was considered appropriate in Release 17 and the same can be leveraged for Release 18.</w:t>
      </w:r>
      <w:r w:rsidR="009D68FA">
        <w:rPr>
          <w:lang w:eastAsia="ja-JP"/>
        </w:rPr>
        <w:t xml:space="preserve"> It should be noted that the TT for &lt;3 GHz and &gt;3 GHz has already been defined in RAN5 based on the Rel-17 timeframe recommendation from RAN4. Hence this is a continuation of the same.</w:t>
      </w:r>
    </w:p>
    <w:p w14:paraId="2236D048" w14:textId="66CBB832" w:rsidR="00252298" w:rsidRDefault="00252298" w:rsidP="00650DF5">
      <w:pPr>
        <w:tabs>
          <w:tab w:val="num" w:pos="720"/>
        </w:tabs>
        <w:jc w:val="both"/>
        <w:rPr>
          <w:lang w:eastAsia="ja-JP"/>
        </w:rPr>
      </w:pPr>
    </w:p>
    <w:p w14:paraId="64B9B452" w14:textId="4BCB971C" w:rsidR="00144FFD" w:rsidRDefault="00144FFD" w:rsidP="00733D9A">
      <w:pPr>
        <w:rPr>
          <w:rFonts w:eastAsia="MS Mincho"/>
          <w:lang w:val="en-GB"/>
        </w:rPr>
      </w:pPr>
      <w:r w:rsidRPr="00144FFD">
        <w:rPr>
          <w:b/>
          <w:bCs/>
          <w:lang w:eastAsia="ja-JP"/>
        </w:rPr>
        <w:t xml:space="preserve">Proposal </w:t>
      </w:r>
      <w:r w:rsidR="00175A64">
        <w:rPr>
          <w:b/>
          <w:bCs/>
          <w:lang w:eastAsia="ja-JP"/>
        </w:rPr>
        <w:t>7</w:t>
      </w:r>
      <w:r w:rsidRPr="00144FFD">
        <w:rPr>
          <w:b/>
          <w:bCs/>
          <w:lang w:eastAsia="ja-JP"/>
        </w:rPr>
        <w:t>:</w:t>
      </w:r>
      <w:r>
        <w:rPr>
          <w:b/>
          <w:bCs/>
          <w:lang w:eastAsia="ja-JP"/>
        </w:rPr>
        <w:t xml:space="preserve"> </w:t>
      </w:r>
      <w:r w:rsidR="00991009">
        <w:rPr>
          <w:b/>
          <w:bCs/>
          <w:lang w:eastAsia="ja-JP"/>
        </w:rPr>
        <w:t xml:space="preserve">Once the Release 18 requirements are confirmed for n1, n28, n41, n78 leverage the TT recommendation provided in Release 17 (0.62*MU) </w:t>
      </w:r>
      <w:r w:rsidR="009D68FA">
        <w:rPr>
          <w:b/>
          <w:bCs/>
          <w:lang w:eastAsia="ja-JP"/>
        </w:rPr>
        <w:t>and</w:t>
      </w:r>
      <w:r w:rsidR="00991009">
        <w:rPr>
          <w:b/>
          <w:bCs/>
          <w:lang w:eastAsia="ja-JP"/>
        </w:rPr>
        <w:t xml:space="preserve"> include as part of Rel-18 core requirements package for Talk and Browse Mode.  </w:t>
      </w:r>
    </w:p>
    <w:p w14:paraId="357817DD" w14:textId="77777777" w:rsidR="00686760" w:rsidRDefault="00686760" w:rsidP="00686760">
      <w:pPr>
        <w:rPr>
          <w:rFonts w:eastAsia="MS Mincho"/>
        </w:rPr>
      </w:pPr>
    </w:p>
    <w:p w14:paraId="1BA20959" w14:textId="21CAA6C1" w:rsidR="004C6FC7" w:rsidRDefault="004C6FC7" w:rsidP="004C6FC7">
      <w:pPr>
        <w:pStyle w:val="Heading2"/>
        <w:rPr>
          <w:rFonts w:eastAsia="MS Mincho"/>
        </w:rPr>
      </w:pPr>
      <w:r w:rsidRPr="00442FDC">
        <w:rPr>
          <w:rFonts w:eastAsia="MS Mincho" w:hint="eastAsia"/>
        </w:rPr>
        <w:t>2.</w:t>
      </w:r>
      <w:r w:rsidR="001B3775">
        <w:rPr>
          <w:rFonts w:eastAsia="MS Mincho"/>
        </w:rPr>
        <w:t>5</w:t>
      </w:r>
      <w:r w:rsidRPr="00442FDC">
        <w:rPr>
          <w:rFonts w:eastAsia="MS Mincho" w:hint="eastAsia"/>
        </w:rPr>
        <w:t xml:space="preserve"> </w:t>
      </w:r>
      <w:r>
        <w:rPr>
          <w:rFonts w:eastAsia="MS Mincho"/>
        </w:rPr>
        <w:t xml:space="preserve">    JBPR (Joint Band Pass Rate) considerations for NR FR1 TRP TRS </w:t>
      </w:r>
    </w:p>
    <w:p w14:paraId="1EF8E9B9" w14:textId="77777777" w:rsidR="00686760" w:rsidRDefault="00686760" w:rsidP="004C6FC7">
      <w:pPr>
        <w:rPr>
          <w:rFonts w:eastAsia="MS Mincho"/>
          <w:lang w:val="en-GB"/>
        </w:rPr>
      </w:pPr>
    </w:p>
    <w:p w14:paraId="0A4E14BE" w14:textId="40D6DC2A" w:rsidR="004C6FC7" w:rsidRDefault="004C6FC7" w:rsidP="004C6FC7">
      <w:pPr>
        <w:rPr>
          <w:rFonts w:eastAsia="MS Mincho"/>
          <w:lang w:val="en-GB"/>
        </w:rPr>
      </w:pPr>
      <w:r>
        <w:rPr>
          <w:rFonts w:eastAsia="MS Mincho"/>
          <w:lang w:val="en-GB"/>
        </w:rPr>
        <w:t>JBPR (Joint Band Pass rate) was previously discussed for LTE SISO OTA</w:t>
      </w:r>
      <w:r w:rsidR="00F369A6">
        <w:rPr>
          <w:rFonts w:eastAsia="MS Mincho"/>
          <w:lang w:val="en-GB"/>
        </w:rPr>
        <w:t xml:space="preserve"> [</w:t>
      </w:r>
      <w:r w:rsidR="00991009">
        <w:rPr>
          <w:rFonts w:eastAsia="MS Mincho"/>
          <w:lang w:val="en-GB"/>
        </w:rPr>
        <w:t>6</w:t>
      </w:r>
      <w:r w:rsidR="00F369A6">
        <w:rPr>
          <w:rFonts w:eastAsia="MS Mincho"/>
          <w:lang w:val="en-GB"/>
        </w:rPr>
        <w:t>]</w:t>
      </w:r>
      <w:r>
        <w:rPr>
          <w:rFonts w:eastAsia="MS Mincho"/>
          <w:lang w:val="en-GB"/>
        </w:rPr>
        <w:t xml:space="preserve">. </w:t>
      </w:r>
      <w:proofErr w:type="spellStart"/>
      <w:r>
        <w:rPr>
          <w:rFonts w:eastAsia="MS Mincho"/>
          <w:lang w:val="fi-FI"/>
        </w:rPr>
        <w:t>Th</w:t>
      </w:r>
      <w:r w:rsidR="00444DD5">
        <w:rPr>
          <w:rFonts w:eastAsia="MS Mincho"/>
          <w:lang w:val="fi-FI"/>
        </w:rPr>
        <w:t>e</w:t>
      </w:r>
      <w:proofErr w:type="spellEnd"/>
      <w:r w:rsidR="00444DD5">
        <w:rPr>
          <w:rFonts w:eastAsia="MS Mincho"/>
          <w:lang w:val="fi-FI"/>
        </w:rPr>
        <w:t xml:space="preserve"> </w:t>
      </w:r>
      <w:proofErr w:type="spellStart"/>
      <w:r w:rsidR="00444DD5">
        <w:rPr>
          <w:rFonts w:eastAsia="MS Mincho"/>
          <w:lang w:val="fi-FI"/>
        </w:rPr>
        <w:t>previous</w:t>
      </w:r>
      <w:proofErr w:type="spellEnd"/>
      <w:r w:rsidR="00444DD5">
        <w:rPr>
          <w:rFonts w:eastAsia="MS Mincho"/>
          <w:lang w:val="fi-FI"/>
        </w:rPr>
        <w:t xml:space="preserve"> framework </w:t>
      </w:r>
      <w:proofErr w:type="spellStart"/>
      <w:r w:rsidR="00444DD5">
        <w:rPr>
          <w:rFonts w:eastAsia="MS Mincho"/>
          <w:lang w:val="fi-FI"/>
        </w:rPr>
        <w:t>involved</w:t>
      </w:r>
      <w:proofErr w:type="spellEnd"/>
      <w:r w:rsidR="00444DD5">
        <w:rPr>
          <w:rFonts w:eastAsia="MS Mincho"/>
          <w:lang w:val="fi-FI"/>
        </w:rPr>
        <w:t xml:space="preserve"> </w:t>
      </w:r>
      <w:proofErr w:type="spellStart"/>
      <w:r w:rsidR="00444DD5">
        <w:rPr>
          <w:rFonts w:eastAsia="MS Mincho"/>
          <w:lang w:val="fi-FI"/>
        </w:rPr>
        <w:t>acknowledging</w:t>
      </w:r>
      <w:proofErr w:type="spellEnd"/>
      <w:r w:rsidR="00444DD5">
        <w:rPr>
          <w:rFonts w:eastAsia="MS Mincho"/>
          <w:lang w:val="fi-FI"/>
        </w:rPr>
        <w:t xml:space="preserve"> </w:t>
      </w:r>
      <w:proofErr w:type="spellStart"/>
      <w:r w:rsidR="00444DD5">
        <w:rPr>
          <w:rFonts w:eastAsia="MS Mincho"/>
          <w:lang w:val="fi-FI"/>
        </w:rPr>
        <w:t>the</w:t>
      </w:r>
      <w:proofErr w:type="spellEnd"/>
      <w:r w:rsidR="00444DD5">
        <w:rPr>
          <w:rFonts w:eastAsia="MS Mincho"/>
          <w:lang w:val="fi-FI"/>
        </w:rPr>
        <w:t xml:space="preserve"> </w:t>
      </w:r>
      <w:proofErr w:type="spellStart"/>
      <w:r w:rsidR="00444DD5">
        <w:rPr>
          <w:rFonts w:eastAsia="MS Mincho"/>
          <w:lang w:val="fi-FI"/>
        </w:rPr>
        <w:t>situation</w:t>
      </w:r>
      <w:proofErr w:type="spellEnd"/>
      <w:r w:rsidR="00444DD5">
        <w:rPr>
          <w:rFonts w:eastAsia="MS Mincho"/>
          <w:lang w:val="fi-FI"/>
        </w:rPr>
        <w:t xml:space="preserve"> </w:t>
      </w:r>
      <w:proofErr w:type="spellStart"/>
      <w:r w:rsidR="00444DD5">
        <w:rPr>
          <w:rFonts w:eastAsia="MS Mincho"/>
          <w:lang w:val="fi-FI"/>
        </w:rPr>
        <w:t>that</w:t>
      </w:r>
      <w:proofErr w:type="spellEnd"/>
      <w:r w:rsidR="00444DD5">
        <w:rPr>
          <w:rFonts w:eastAsia="MS Mincho"/>
          <w:lang w:val="fi-FI"/>
        </w:rPr>
        <w:t xml:space="preserve"> </w:t>
      </w:r>
      <w:proofErr w:type="spellStart"/>
      <w:r w:rsidR="00444DD5">
        <w:rPr>
          <w:rFonts w:eastAsia="MS Mincho"/>
          <w:lang w:val="fi-FI"/>
        </w:rPr>
        <w:t>UEs</w:t>
      </w:r>
      <w:proofErr w:type="spellEnd"/>
      <w:r w:rsidR="00444DD5">
        <w:rPr>
          <w:rFonts w:eastAsia="MS Mincho"/>
          <w:lang w:val="fi-FI"/>
        </w:rPr>
        <w:t xml:space="preserve"> </w:t>
      </w:r>
      <w:proofErr w:type="spellStart"/>
      <w:r w:rsidR="00444DD5">
        <w:rPr>
          <w:rFonts w:eastAsia="MS Mincho"/>
          <w:lang w:val="fi-FI"/>
        </w:rPr>
        <w:t>supporting</w:t>
      </w:r>
      <w:proofErr w:type="spellEnd"/>
      <w:r w:rsidR="00444DD5">
        <w:rPr>
          <w:rFonts w:eastAsia="MS Mincho"/>
          <w:lang w:val="fi-FI"/>
        </w:rPr>
        <w:t xml:space="preserve"> </w:t>
      </w:r>
      <w:proofErr w:type="spellStart"/>
      <w:r w:rsidR="00444DD5">
        <w:rPr>
          <w:rFonts w:eastAsia="MS Mincho"/>
          <w:lang w:val="fi-FI"/>
        </w:rPr>
        <w:t>multiple</w:t>
      </w:r>
      <w:proofErr w:type="spellEnd"/>
      <w:r w:rsidR="00444DD5">
        <w:rPr>
          <w:rFonts w:eastAsia="MS Mincho"/>
          <w:lang w:val="fi-FI"/>
        </w:rPr>
        <w:t xml:space="preserve"> </w:t>
      </w:r>
      <w:proofErr w:type="spellStart"/>
      <w:r w:rsidR="00444DD5">
        <w:rPr>
          <w:rFonts w:eastAsia="MS Mincho"/>
          <w:lang w:val="fi-FI"/>
        </w:rPr>
        <w:t>bands</w:t>
      </w:r>
      <w:proofErr w:type="spellEnd"/>
      <w:r w:rsidR="00444DD5">
        <w:rPr>
          <w:rFonts w:eastAsia="MS Mincho"/>
          <w:lang w:val="fi-FI"/>
        </w:rPr>
        <w:t xml:space="preserve"> </w:t>
      </w:r>
      <w:proofErr w:type="spellStart"/>
      <w:r w:rsidR="00444DD5">
        <w:rPr>
          <w:rFonts w:eastAsia="MS Mincho"/>
          <w:lang w:val="fi-FI"/>
        </w:rPr>
        <w:t>must</w:t>
      </w:r>
      <w:proofErr w:type="spellEnd"/>
      <w:r w:rsidR="00444DD5">
        <w:rPr>
          <w:rFonts w:eastAsia="MS Mincho"/>
          <w:lang w:val="fi-FI"/>
        </w:rPr>
        <w:t xml:space="preserve"> </w:t>
      </w:r>
      <w:proofErr w:type="spellStart"/>
      <w:r w:rsidR="00444DD5">
        <w:rPr>
          <w:rFonts w:eastAsia="MS Mincho"/>
          <w:lang w:val="fi-FI"/>
        </w:rPr>
        <w:t>pass</w:t>
      </w:r>
      <w:proofErr w:type="spellEnd"/>
      <w:r w:rsidR="00444DD5">
        <w:rPr>
          <w:rFonts w:eastAsia="MS Mincho"/>
          <w:lang w:val="fi-FI"/>
        </w:rPr>
        <w:t xml:space="preserve"> OTA </w:t>
      </w:r>
      <w:proofErr w:type="spellStart"/>
      <w:r w:rsidR="00444DD5">
        <w:rPr>
          <w:rFonts w:eastAsia="MS Mincho"/>
          <w:lang w:val="fi-FI"/>
        </w:rPr>
        <w:t>requirements</w:t>
      </w:r>
      <w:proofErr w:type="spellEnd"/>
      <w:r w:rsidR="00444DD5">
        <w:rPr>
          <w:rFonts w:eastAsia="MS Mincho"/>
          <w:lang w:val="fi-FI"/>
        </w:rPr>
        <w:t xml:space="preserve"> for </w:t>
      </w:r>
      <w:proofErr w:type="spellStart"/>
      <w:r w:rsidR="00444DD5">
        <w:rPr>
          <w:rFonts w:eastAsia="MS Mincho"/>
          <w:lang w:val="fi-FI"/>
        </w:rPr>
        <w:t>all</w:t>
      </w:r>
      <w:proofErr w:type="spellEnd"/>
      <w:r w:rsidR="00444DD5">
        <w:rPr>
          <w:rFonts w:eastAsia="MS Mincho"/>
          <w:lang w:val="fi-FI"/>
        </w:rPr>
        <w:t xml:space="preserve"> </w:t>
      </w:r>
      <w:proofErr w:type="spellStart"/>
      <w:r w:rsidR="00444DD5">
        <w:rPr>
          <w:rFonts w:eastAsia="MS Mincho"/>
          <w:lang w:val="fi-FI"/>
        </w:rPr>
        <w:t>applicable</w:t>
      </w:r>
      <w:proofErr w:type="spellEnd"/>
      <w:r w:rsidR="00444DD5">
        <w:rPr>
          <w:rFonts w:eastAsia="MS Mincho"/>
          <w:lang w:val="fi-FI"/>
        </w:rPr>
        <w:t xml:space="preserve"> </w:t>
      </w:r>
      <w:proofErr w:type="spellStart"/>
      <w:r w:rsidR="00444DD5">
        <w:rPr>
          <w:rFonts w:eastAsia="MS Mincho"/>
          <w:lang w:val="fi-FI"/>
        </w:rPr>
        <w:t>bands</w:t>
      </w:r>
      <w:proofErr w:type="spellEnd"/>
      <w:r w:rsidR="00444DD5">
        <w:rPr>
          <w:rFonts w:eastAsia="MS Mincho"/>
          <w:lang w:val="fi-FI"/>
        </w:rPr>
        <w:t xml:space="preserve"> in </w:t>
      </w:r>
      <w:proofErr w:type="spellStart"/>
      <w:r w:rsidR="00444DD5">
        <w:rPr>
          <w:rFonts w:eastAsia="MS Mincho"/>
          <w:lang w:val="fi-FI"/>
        </w:rPr>
        <w:t>order</w:t>
      </w:r>
      <w:proofErr w:type="spellEnd"/>
      <w:r w:rsidR="00444DD5">
        <w:rPr>
          <w:rFonts w:eastAsia="MS Mincho"/>
          <w:lang w:val="fi-FI"/>
        </w:rPr>
        <w:t xml:space="preserve"> to </w:t>
      </w:r>
      <w:proofErr w:type="spellStart"/>
      <w:r w:rsidR="00444DD5">
        <w:rPr>
          <w:rFonts w:eastAsia="MS Mincho"/>
          <w:lang w:val="fi-FI"/>
        </w:rPr>
        <w:t>achieve</w:t>
      </w:r>
      <w:proofErr w:type="spellEnd"/>
      <w:r w:rsidR="00444DD5">
        <w:rPr>
          <w:rFonts w:eastAsia="MS Mincho"/>
          <w:lang w:val="fi-FI"/>
        </w:rPr>
        <w:t xml:space="preserve"> </w:t>
      </w:r>
      <w:proofErr w:type="spellStart"/>
      <w:r w:rsidR="00444DD5">
        <w:rPr>
          <w:rFonts w:eastAsia="MS Mincho"/>
          <w:lang w:val="fi-FI"/>
        </w:rPr>
        <w:t>certification</w:t>
      </w:r>
      <w:proofErr w:type="spellEnd"/>
      <w:r w:rsidR="00444DD5">
        <w:rPr>
          <w:rFonts w:eastAsia="MS Mincho"/>
          <w:lang w:val="fi-FI"/>
        </w:rPr>
        <w:t xml:space="preserve">. </w:t>
      </w:r>
      <w:proofErr w:type="spellStart"/>
      <w:r w:rsidR="00F369A6">
        <w:rPr>
          <w:rFonts w:eastAsia="MS Mincho"/>
          <w:lang w:val="fi-FI"/>
        </w:rPr>
        <w:t>However</w:t>
      </w:r>
      <w:proofErr w:type="spellEnd"/>
      <w:r w:rsidR="00F369A6">
        <w:rPr>
          <w:rFonts w:eastAsia="MS Mincho"/>
          <w:lang w:val="fi-FI"/>
        </w:rPr>
        <w:t xml:space="preserve">, </w:t>
      </w:r>
      <w:proofErr w:type="spellStart"/>
      <w:r w:rsidR="00F369A6">
        <w:rPr>
          <w:rFonts w:eastAsia="MS Mincho"/>
          <w:lang w:val="fi-FI"/>
        </w:rPr>
        <w:t>noting</w:t>
      </w:r>
      <w:proofErr w:type="spellEnd"/>
      <w:r w:rsidR="00F369A6">
        <w:rPr>
          <w:rFonts w:eastAsia="MS Mincho"/>
          <w:lang w:val="fi-FI"/>
        </w:rPr>
        <w:t xml:space="preserve"> </w:t>
      </w:r>
      <w:proofErr w:type="spellStart"/>
      <w:r w:rsidR="00F369A6">
        <w:rPr>
          <w:rFonts w:eastAsia="MS Mincho"/>
          <w:lang w:val="fi-FI"/>
        </w:rPr>
        <w:t>that</w:t>
      </w:r>
      <w:proofErr w:type="spellEnd"/>
      <w:r w:rsidR="00F369A6">
        <w:rPr>
          <w:rFonts w:eastAsia="MS Mincho"/>
          <w:lang w:val="fi-FI"/>
        </w:rPr>
        <w:t xml:space="preserve"> </w:t>
      </w:r>
      <w:r w:rsidR="00444DD5">
        <w:rPr>
          <w:rFonts w:eastAsia="MS Mincho"/>
          <w:lang w:val="fi-FI"/>
        </w:rPr>
        <w:t xml:space="preserve">3GPP </w:t>
      </w:r>
      <w:proofErr w:type="spellStart"/>
      <w:r w:rsidR="00686760">
        <w:rPr>
          <w:rFonts w:eastAsia="MS Mincho"/>
          <w:lang w:val="fi-FI"/>
        </w:rPr>
        <w:t>has</w:t>
      </w:r>
      <w:proofErr w:type="spellEnd"/>
      <w:r w:rsidR="00686760">
        <w:rPr>
          <w:rFonts w:eastAsia="MS Mincho"/>
          <w:lang w:val="fi-FI"/>
        </w:rPr>
        <w:t xml:space="preserve"> to </w:t>
      </w:r>
      <w:proofErr w:type="spellStart"/>
      <w:r w:rsidRPr="004C6FC7">
        <w:rPr>
          <w:rFonts w:eastAsia="MS Mincho"/>
          <w:lang w:val="fi-FI"/>
        </w:rPr>
        <w:t>evaluat</w:t>
      </w:r>
      <w:r w:rsidR="00686760">
        <w:rPr>
          <w:rFonts w:eastAsia="MS Mincho"/>
          <w:lang w:val="fi-FI"/>
        </w:rPr>
        <w:t>e</w:t>
      </w:r>
      <w:proofErr w:type="spellEnd"/>
      <w:r w:rsidRPr="004C6FC7">
        <w:rPr>
          <w:rFonts w:eastAsia="MS Mincho"/>
          <w:lang w:val="fi-FI"/>
        </w:rPr>
        <w:t xml:space="preserve"> a </w:t>
      </w:r>
      <w:proofErr w:type="spellStart"/>
      <w:r w:rsidRPr="004C6FC7">
        <w:rPr>
          <w:rFonts w:eastAsia="MS Mincho"/>
          <w:lang w:val="fi-FI"/>
        </w:rPr>
        <w:t>joint</w:t>
      </w:r>
      <w:proofErr w:type="spellEnd"/>
      <w:r w:rsidRPr="004C6FC7">
        <w:rPr>
          <w:rFonts w:eastAsia="MS Mincho"/>
          <w:lang w:val="fi-FI"/>
        </w:rPr>
        <w:t xml:space="preserve"> </w:t>
      </w:r>
      <w:proofErr w:type="spellStart"/>
      <w:r w:rsidRPr="004C6FC7">
        <w:rPr>
          <w:rFonts w:eastAsia="MS Mincho"/>
          <w:lang w:val="fi-FI"/>
        </w:rPr>
        <w:t>band</w:t>
      </w:r>
      <w:proofErr w:type="spellEnd"/>
      <w:r w:rsidRPr="004C6FC7">
        <w:rPr>
          <w:rFonts w:eastAsia="MS Mincho"/>
          <w:lang w:val="fi-FI"/>
        </w:rPr>
        <w:t xml:space="preserve"> </w:t>
      </w:r>
      <w:proofErr w:type="spellStart"/>
      <w:r w:rsidRPr="004C6FC7">
        <w:rPr>
          <w:rFonts w:eastAsia="MS Mincho"/>
          <w:lang w:val="fi-FI"/>
        </w:rPr>
        <w:t>passing</w:t>
      </w:r>
      <w:proofErr w:type="spellEnd"/>
      <w:r w:rsidRPr="004C6FC7">
        <w:rPr>
          <w:rFonts w:eastAsia="MS Mincho"/>
          <w:lang w:val="fi-FI"/>
        </w:rPr>
        <w:t xml:space="preserve"> </w:t>
      </w:r>
      <w:proofErr w:type="spellStart"/>
      <w:r w:rsidRPr="004C6FC7">
        <w:rPr>
          <w:rFonts w:eastAsia="MS Mincho"/>
          <w:lang w:val="fi-FI"/>
        </w:rPr>
        <w:t>rate</w:t>
      </w:r>
      <w:proofErr w:type="spellEnd"/>
      <w:r w:rsidRPr="004C6FC7">
        <w:rPr>
          <w:rFonts w:eastAsia="MS Mincho"/>
          <w:lang w:val="fi-FI"/>
        </w:rPr>
        <w:t xml:space="preserve"> (JBPR) </w:t>
      </w:r>
      <w:proofErr w:type="spellStart"/>
      <w:r w:rsidRPr="004C6FC7">
        <w:rPr>
          <w:rFonts w:eastAsia="MS Mincho"/>
          <w:lang w:val="fi-FI"/>
        </w:rPr>
        <w:t>based</w:t>
      </w:r>
      <w:proofErr w:type="spellEnd"/>
      <w:r w:rsidRPr="004C6FC7">
        <w:rPr>
          <w:rFonts w:eastAsia="MS Mincho"/>
          <w:lang w:val="fi-FI"/>
        </w:rPr>
        <w:t xml:space="preserve"> on </w:t>
      </w:r>
      <w:proofErr w:type="spellStart"/>
      <w:r w:rsidRPr="004C6FC7">
        <w:rPr>
          <w:rFonts w:eastAsia="MS Mincho"/>
          <w:lang w:val="fi-FI"/>
        </w:rPr>
        <w:t>the</w:t>
      </w:r>
      <w:proofErr w:type="spellEnd"/>
      <w:r w:rsidRPr="004C6FC7">
        <w:rPr>
          <w:rFonts w:eastAsia="MS Mincho"/>
          <w:lang w:val="fi-FI"/>
        </w:rPr>
        <w:t xml:space="preserve"> </w:t>
      </w:r>
      <w:r w:rsidRPr="004C6FC7">
        <w:rPr>
          <w:rFonts w:eastAsia="MS Mincho"/>
          <w:lang w:val="en-GB"/>
        </w:rPr>
        <w:t xml:space="preserve">comparison of the potential requirements against the measured OTA performances over a selected set of bands </w:t>
      </w:r>
      <w:r w:rsidR="00377E5C">
        <w:rPr>
          <w:rFonts w:eastAsia="MS Mincho"/>
          <w:lang w:val="en-GB"/>
        </w:rPr>
        <w:t>by</w:t>
      </w:r>
      <w:r w:rsidR="00340F53">
        <w:rPr>
          <w:rFonts w:eastAsia="MS Mincho"/>
          <w:lang w:val="en-GB"/>
        </w:rPr>
        <w:t>, for example,</w:t>
      </w:r>
      <w:r w:rsidRPr="004C6FC7">
        <w:rPr>
          <w:rFonts w:eastAsia="MS Mincho"/>
          <w:lang w:val="en-GB"/>
        </w:rPr>
        <w:t xml:space="preserve"> evaluating the ratio of the number of passed UEs over the total number of UEs.</w:t>
      </w:r>
    </w:p>
    <w:p w14:paraId="2CD8759A" w14:textId="072471A3" w:rsidR="00340F53" w:rsidRDefault="00340F53" w:rsidP="004C6FC7">
      <w:pPr>
        <w:rPr>
          <w:rFonts w:eastAsia="MS Mincho"/>
          <w:lang w:val="en-GB"/>
        </w:rPr>
      </w:pPr>
    </w:p>
    <w:p w14:paraId="1C2821C8" w14:textId="0DC8FCB8" w:rsidR="00340F53" w:rsidRPr="004C6FC7" w:rsidRDefault="00340F53" w:rsidP="004C6FC7">
      <w:pPr>
        <w:rPr>
          <w:rFonts w:eastAsia="MS Mincho"/>
          <w:lang w:val="en-GB"/>
        </w:rPr>
      </w:pPr>
      <w:r>
        <w:rPr>
          <w:rFonts w:eastAsia="MS Mincho"/>
          <w:lang w:val="en-GB"/>
        </w:rPr>
        <w:t xml:space="preserve">As an initial step, it would help to highlight DUTs, based on the entries in the performance campaign template (using a </w:t>
      </w:r>
      <w:proofErr w:type="spellStart"/>
      <w:r>
        <w:rPr>
          <w:rFonts w:eastAsia="MS Mincho"/>
          <w:lang w:val="en-GB"/>
        </w:rPr>
        <w:t>color</w:t>
      </w:r>
      <w:proofErr w:type="spellEnd"/>
      <w:r>
        <w:rPr>
          <w:rFonts w:eastAsia="MS Mincho"/>
          <w:lang w:val="en-GB"/>
        </w:rPr>
        <w:t xml:space="preserve"> code etc in the plots/CDF curves), that have data submitted for </w:t>
      </w:r>
      <w:r w:rsidR="00991009">
        <w:rPr>
          <w:rFonts w:eastAsia="MS Mincho"/>
          <w:lang w:val="en-GB"/>
        </w:rPr>
        <w:t>all the bands i.e. n1, n28,</w:t>
      </w:r>
      <w:r>
        <w:rPr>
          <w:rFonts w:eastAsia="MS Mincho"/>
          <w:lang w:val="en-GB"/>
        </w:rPr>
        <w:t xml:space="preserve"> n41 and n78</w:t>
      </w:r>
      <w:r w:rsidR="00991009">
        <w:rPr>
          <w:rFonts w:eastAsia="MS Mincho"/>
          <w:lang w:val="en-GB"/>
        </w:rPr>
        <w:t xml:space="preserve"> for any combination of configurations (i.e. if TRP and TRS data is available for all 4 bands for HO only or BHH only or HO and BHH)</w:t>
      </w:r>
      <w:r>
        <w:rPr>
          <w:rFonts w:eastAsia="MS Mincho"/>
          <w:lang w:val="en-GB"/>
        </w:rPr>
        <w:t>. This will be critical for further analysis.</w:t>
      </w:r>
    </w:p>
    <w:p w14:paraId="152EF133" w14:textId="5988E89C" w:rsidR="00926831" w:rsidRDefault="00926831" w:rsidP="00926831"/>
    <w:p w14:paraId="74509FE1" w14:textId="3D6DB7DC" w:rsidR="004C6FC7" w:rsidRPr="00135BB4" w:rsidRDefault="004C6FC7" w:rsidP="00926831">
      <w:pPr>
        <w:rPr>
          <w:b/>
          <w:bCs/>
        </w:rPr>
      </w:pPr>
      <w:r w:rsidRPr="00135BB4">
        <w:rPr>
          <w:b/>
          <w:bCs/>
        </w:rPr>
        <w:t xml:space="preserve">Proposal </w:t>
      </w:r>
      <w:r w:rsidR="00175A64">
        <w:rPr>
          <w:b/>
          <w:bCs/>
        </w:rPr>
        <w:t>8</w:t>
      </w:r>
      <w:r w:rsidRPr="00135BB4">
        <w:rPr>
          <w:b/>
          <w:bCs/>
        </w:rPr>
        <w:t xml:space="preserve">:  </w:t>
      </w:r>
      <w:r w:rsidR="00340F53">
        <w:rPr>
          <w:b/>
          <w:bCs/>
        </w:rPr>
        <w:t>To help with further analysis</w:t>
      </w:r>
      <w:r w:rsidR="001763FE">
        <w:rPr>
          <w:b/>
          <w:bCs/>
        </w:rPr>
        <w:t xml:space="preserve"> vis-à-vis JBPR</w:t>
      </w:r>
      <w:r w:rsidR="00340F53">
        <w:rPr>
          <w:b/>
          <w:bCs/>
        </w:rPr>
        <w:t>, w</w:t>
      </w:r>
      <w:r w:rsidR="00686760">
        <w:rPr>
          <w:b/>
          <w:bCs/>
        </w:rPr>
        <w:t xml:space="preserve">hen </w:t>
      </w:r>
      <w:r w:rsidR="00340F53">
        <w:rPr>
          <w:b/>
          <w:bCs/>
        </w:rPr>
        <w:t xml:space="preserve">consolidating </w:t>
      </w:r>
      <w:r w:rsidR="00686760">
        <w:rPr>
          <w:b/>
          <w:bCs/>
        </w:rPr>
        <w:t xml:space="preserve">all the data from performance campaign devices into </w:t>
      </w:r>
      <w:r w:rsidR="00340F53">
        <w:rPr>
          <w:b/>
          <w:bCs/>
        </w:rPr>
        <w:t>a</w:t>
      </w:r>
      <w:r w:rsidR="00686760">
        <w:rPr>
          <w:b/>
          <w:bCs/>
        </w:rPr>
        <w:t xml:space="preserve"> pool to create CDF curves, have a mechanism to highlight (color code </w:t>
      </w:r>
      <w:proofErr w:type="spellStart"/>
      <w:r w:rsidR="00686760">
        <w:rPr>
          <w:b/>
          <w:bCs/>
        </w:rPr>
        <w:t>etc</w:t>
      </w:r>
      <w:proofErr w:type="spellEnd"/>
      <w:r w:rsidR="00686760">
        <w:rPr>
          <w:b/>
          <w:bCs/>
        </w:rPr>
        <w:t>) the data point</w:t>
      </w:r>
      <w:r w:rsidR="00340F53">
        <w:rPr>
          <w:b/>
          <w:bCs/>
        </w:rPr>
        <w:t>(s)</w:t>
      </w:r>
      <w:r w:rsidR="00686760">
        <w:rPr>
          <w:b/>
          <w:bCs/>
        </w:rPr>
        <w:t xml:space="preserve"> coming from DUTs</w:t>
      </w:r>
      <w:r w:rsidRPr="00135BB4">
        <w:rPr>
          <w:b/>
          <w:bCs/>
        </w:rPr>
        <w:t xml:space="preserve"> support</w:t>
      </w:r>
      <w:r w:rsidR="00340F53">
        <w:rPr>
          <w:b/>
          <w:bCs/>
        </w:rPr>
        <w:t>ing</w:t>
      </w:r>
      <w:r w:rsidRPr="00135BB4">
        <w:rPr>
          <w:b/>
          <w:bCs/>
        </w:rPr>
        <w:t xml:space="preserve"> </w:t>
      </w:r>
      <w:r w:rsidR="00991009">
        <w:rPr>
          <w:b/>
          <w:bCs/>
        </w:rPr>
        <w:t>all 4 bands – n1, n28, n41 and n78</w:t>
      </w:r>
      <w:r w:rsidRPr="00135BB4">
        <w:rPr>
          <w:b/>
          <w:bCs/>
        </w:rPr>
        <w:t xml:space="preserve">. </w:t>
      </w:r>
    </w:p>
    <w:p w14:paraId="73F37893" w14:textId="5E658275" w:rsidR="004C6FC7" w:rsidRDefault="004C6FC7" w:rsidP="00926831"/>
    <w:p w14:paraId="1AE968BC" w14:textId="24F84D57" w:rsidR="00F50BB9" w:rsidRDefault="00683FAE" w:rsidP="00C30005">
      <w:pPr>
        <w:pStyle w:val="Heading1"/>
        <w:rPr>
          <w:rFonts w:cs="Arial"/>
        </w:rPr>
      </w:pPr>
      <w:r>
        <w:rPr>
          <w:rFonts w:cs="Arial"/>
        </w:rPr>
        <w:t xml:space="preserve">3 </w:t>
      </w:r>
      <w:r w:rsidR="007B2019">
        <w:rPr>
          <w:rFonts w:cs="Arial"/>
        </w:rPr>
        <w:t>Summary</w:t>
      </w:r>
    </w:p>
    <w:p w14:paraId="168F9EBE" w14:textId="77777777" w:rsidR="00C76963" w:rsidRPr="00C76963" w:rsidRDefault="00C76963" w:rsidP="00C76963">
      <w:pPr>
        <w:spacing w:before="120" w:after="120"/>
        <w:rPr>
          <w:rFonts w:eastAsia="MS Mincho"/>
          <w:b/>
          <w:bCs/>
          <w:i/>
          <w:iCs/>
        </w:rPr>
      </w:pPr>
      <w:r w:rsidRPr="00C76963">
        <w:rPr>
          <w:rFonts w:eastAsia="MS Mincho"/>
          <w:b/>
          <w:bCs/>
          <w:i/>
          <w:iCs/>
        </w:rPr>
        <w:t>Observation 1: The requirement for the alternate channel bandwidth may not necessarily be a linear adjustment based purely on RB scaling and therefore empirical measurement approach is critical to understand if additional allowance is required.</w:t>
      </w:r>
    </w:p>
    <w:p w14:paraId="3B2F7FE2" w14:textId="77777777" w:rsidR="00175A64" w:rsidRPr="00175A64" w:rsidRDefault="00175A64" w:rsidP="00175A64">
      <w:pPr>
        <w:rPr>
          <w:b/>
          <w:bCs/>
        </w:rPr>
      </w:pPr>
      <w:r w:rsidRPr="00175A64">
        <w:rPr>
          <w:b/>
          <w:bCs/>
        </w:rPr>
        <w:lastRenderedPageBreak/>
        <w:t xml:space="preserve">Proposal 1: </w:t>
      </w:r>
      <w:r>
        <w:rPr>
          <w:b/>
          <w:bCs/>
        </w:rPr>
        <w:t>A</w:t>
      </w:r>
      <w:r w:rsidRPr="00175A64">
        <w:rPr>
          <w:b/>
          <w:bCs/>
        </w:rPr>
        <w:t>lign with Option 1 from RAN4#110 WF [1]</w:t>
      </w:r>
      <w:r>
        <w:rPr>
          <w:b/>
          <w:bCs/>
        </w:rPr>
        <w:t xml:space="preserve"> with further clarifications as needed</w:t>
      </w:r>
      <w:r w:rsidRPr="00175A64">
        <w:rPr>
          <w:b/>
          <w:bCs/>
        </w:rPr>
        <w:t>. The core specification should primarily list the baseline requirement based on the channel bandwidth for which performance campaign has been carried out. A specific NOTE indicating derivation/scaling of the requirement for additional channel bandwidths can be listed.</w:t>
      </w:r>
    </w:p>
    <w:p w14:paraId="4F37DC31" w14:textId="77777777" w:rsidR="009D68FA" w:rsidRDefault="009D68FA" w:rsidP="009D68FA">
      <w:pPr>
        <w:pStyle w:val="TH"/>
        <w:jc w:val="left"/>
        <w:rPr>
          <w:rFonts w:ascii="Times New Roman" w:hAnsi="Times New Roman"/>
          <w:sz w:val="24"/>
          <w:szCs w:val="24"/>
        </w:rPr>
      </w:pPr>
      <w:r w:rsidRPr="00C76963">
        <w:rPr>
          <w:rFonts w:ascii="Times New Roman" w:hAnsi="Times New Roman"/>
          <w:sz w:val="24"/>
          <w:szCs w:val="24"/>
        </w:rPr>
        <w:t xml:space="preserve">Proposal </w:t>
      </w:r>
      <w:r>
        <w:rPr>
          <w:rFonts w:ascii="Times New Roman" w:hAnsi="Times New Roman"/>
          <w:sz w:val="24"/>
          <w:szCs w:val="24"/>
        </w:rPr>
        <w:t>2</w:t>
      </w:r>
      <w:r w:rsidRPr="00C76963">
        <w:rPr>
          <w:rFonts w:ascii="Times New Roman" w:hAnsi="Times New Roman"/>
          <w:sz w:val="24"/>
          <w:szCs w:val="24"/>
        </w:rPr>
        <w:t xml:space="preserve">: Agree </w:t>
      </w:r>
      <w:r>
        <w:rPr>
          <w:rFonts w:ascii="Times New Roman" w:hAnsi="Times New Roman"/>
          <w:sz w:val="24"/>
          <w:szCs w:val="24"/>
        </w:rPr>
        <w:t>that</w:t>
      </w:r>
      <w:r w:rsidRPr="00C76963">
        <w:rPr>
          <w:rFonts w:ascii="Times New Roman" w:hAnsi="Times New Roman"/>
          <w:sz w:val="24"/>
          <w:szCs w:val="24"/>
        </w:rPr>
        <w:t xml:space="preserve"> an additional allowance</w:t>
      </w:r>
      <w:r>
        <w:rPr>
          <w:rFonts w:ascii="Times New Roman" w:hAnsi="Times New Roman"/>
          <w:sz w:val="24"/>
          <w:szCs w:val="24"/>
        </w:rPr>
        <w:t xml:space="preserve"> is needed</w:t>
      </w:r>
      <w:r w:rsidRPr="00C76963">
        <w:rPr>
          <w:rFonts w:ascii="Times New Roman" w:hAnsi="Times New Roman"/>
          <w:sz w:val="24"/>
          <w:szCs w:val="24"/>
        </w:rPr>
        <w:t xml:space="preserve"> </w:t>
      </w:r>
      <w:r>
        <w:rPr>
          <w:rFonts w:ascii="Times New Roman" w:hAnsi="Times New Roman"/>
          <w:sz w:val="24"/>
          <w:szCs w:val="24"/>
        </w:rPr>
        <w:t>to the REFSENS RB scaled TRS requirements</w:t>
      </w:r>
      <w:r w:rsidRPr="00C76963">
        <w:rPr>
          <w:rFonts w:ascii="Times New Roman" w:hAnsi="Times New Roman"/>
          <w:sz w:val="24"/>
          <w:szCs w:val="24"/>
        </w:rPr>
        <w:t xml:space="preserve"> derive</w:t>
      </w:r>
      <w:r>
        <w:rPr>
          <w:rFonts w:ascii="Times New Roman" w:hAnsi="Times New Roman"/>
          <w:sz w:val="24"/>
          <w:szCs w:val="24"/>
        </w:rPr>
        <w:t>d</w:t>
      </w:r>
      <w:r w:rsidRPr="00C76963">
        <w:rPr>
          <w:rFonts w:ascii="Times New Roman" w:hAnsi="Times New Roman"/>
          <w:sz w:val="24"/>
          <w:szCs w:val="24"/>
        </w:rPr>
        <w:t xml:space="preserve"> for n28, n41, n77, n78</w:t>
      </w:r>
      <w:r>
        <w:rPr>
          <w:rFonts w:ascii="Times New Roman" w:hAnsi="Times New Roman"/>
          <w:sz w:val="24"/>
          <w:szCs w:val="24"/>
        </w:rPr>
        <w:t xml:space="preserve"> browsing mode for the alternate channel bandwidths.</w:t>
      </w:r>
      <w:r w:rsidRPr="00C76963">
        <w:rPr>
          <w:rFonts w:ascii="Times New Roman" w:hAnsi="Times New Roman"/>
          <w:sz w:val="24"/>
          <w:szCs w:val="24"/>
          <w:vertAlign w:val="superscript"/>
        </w:rPr>
        <w:t xml:space="preserve"> </w:t>
      </w:r>
      <w:r w:rsidRPr="00C76963">
        <w:rPr>
          <w:rFonts w:ascii="Times New Roman" w:hAnsi="Times New Roman"/>
          <w:sz w:val="24"/>
          <w:szCs w:val="24"/>
        </w:rPr>
        <w:t xml:space="preserve">The framework for determining the allowance value can be </w:t>
      </w:r>
      <w:r>
        <w:rPr>
          <w:rFonts w:ascii="Times New Roman" w:hAnsi="Times New Roman"/>
          <w:sz w:val="24"/>
          <w:szCs w:val="24"/>
        </w:rPr>
        <w:t>data-driven i.e. average the delta seen from multiple empirical measurements which companies are encouraged to provide</w:t>
      </w:r>
      <w:r w:rsidRPr="00C76963">
        <w:rPr>
          <w:rFonts w:ascii="Times New Roman" w:hAnsi="Times New Roman"/>
          <w:sz w:val="24"/>
          <w:szCs w:val="24"/>
        </w:rPr>
        <w:t xml:space="preserve">. </w:t>
      </w:r>
    </w:p>
    <w:p w14:paraId="2C568521" w14:textId="77777777" w:rsidR="00DA3ECE" w:rsidRPr="00C76963" w:rsidRDefault="00DA3ECE" w:rsidP="00DA3ECE">
      <w:pPr>
        <w:pStyle w:val="TH"/>
        <w:jc w:val="left"/>
        <w:rPr>
          <w:rFonts w:ascii="Times New Roman" w:hAnsi="Times New Roman"/>
          <w:sz w:val="24"/>
          <w:szCs w:val="24"/>
          <w:vertAlign w:val="subscript"/>
        </w:rPr>
      </w:pPr>
      <w:r w:rsidRPr="00C76963">
        <w:rPr>
          <w:rFonts w:ascii="Times New Roman" w:hAnsi="Times New Roman"/>
          <w:sz w:val="24"/>
          <w:szCs w:val="24"/>
        </w:rPr>
        <w:t>Allowance for Talk Mode is FFS and can be finalized similarly based on empirical data.</w:t>
      </w:r>
    </w:p>
    <w:p w14:paraId="7620747A" w14:textId="458D5177" w:rsidR="009D68FA" w:rsidRPr="00C76963" w:rsidRDefault="009D68FA" w:rsidP="009D68FA">
      <w:pPr>
        <w:spacing w:before="120" w:after="120"/>
        <w:rPr>
          <w:rFonts w:eastAsia="MS Mincho"/>
          <w:b/>
          <w:bCs/>
        </w:rPr>
      </w:pPr>
      <w:r w:rsidRPr="00C76963">
        <w:rPr>
          <w:rFonts w:eastAsia="MS Mincho"/>
          <w:b/>
          <w:bCs/>
        </w:rPr>
        <w:t xml:space="preserve">Proposal </w:t>
      </w:r>
      <w:r>
        <w:rPr>
          <w:rFonts w:eastAsia="MS Mincho"/>
          <w:b/>
          <w:bCs/>
        </w:rPr>
        <w:t>3</w:t>
      </w:r>
      <w:r w:rsidRPr="00C76963">
        <w:rPr>
          <w:rFonts w:eastAsia="MS Mincho"/>
          <w:b/>
          <w:bCs/>
        </w:rPr>
        <w:t xml:space="preserve">: </w:t>
      </w:r>
      <w:r>
        <w:rPr>
          <w:rFonts w:eastAsia="MS Mincho"/>
          <w:b/>
          <w:bCs/>
        </w:rPr>
        <w:t>A</w:t>
      </w:r>
      <w:r w:rsidRPr="00C76963">
        <w:rPr>
          <w:rFonts w:eastAsia="MS Mincho"/>
          <w:b/>
          <w:bCs/>
        </w:rPr>
        <w:t xml:space="preserve">gree </w:t>
      </w:r>
      <w:r>
        <w:rPr>
          <w:rFonts w:eastAsia="MS Mincho"/>
          <w:b/>
          <w:bCs/>
        </w:rPr>
        <w:t>to use</w:t>
      </w:r>
      <w:r w:rsidRPr="00C76963">
        <w:rPr>
          <w:rFonts w:eastAsia="MS Mincho"/>
          <w:b/>
          <w:bCs/>
        </w:rPr>
        <w:t xml:space="preserve"> test frequencies </w:t>
      </w:r>
      <w:r>
        <w:rPr>
          <w:rFonts w:eastAsia="MS Mincho"/>
          <w:b/>
          <w:bCs/>
        </w:rPr>
        <w:t>defined in TS 38.508-1</w:t>
      </w:r>
      <w:r w:rsidRPr="00C76963">
        <w:rPr>
          <w:rFonts w:eastAsia="MS Mincho"/>
          <w:b/>
          <w:bCs/>
        </w:rPr>
        <w:t xml:space="preserve"> for the alternate channel bandwidths.</w:t>
      </w:r>
    </w:p>
    <w:p w14:paraId="572A1735" w14:textId="40856AD6" w:rsidR="00C76963" w:rsidRPr="00C76963" w:rsidRDefault="00C76963" w:rsidP="00C76963">
      <w:pPr>
        <w:spacing w:before="120" w:after="120"/>
        <w:rPr>
          <w:rFonts w:eastAsia="MS Mincho"/>
          <w:b/>
          <w:bCs/>
        </w:rPr>
      </w:pPr>
      <w:r w:rsidRPr="00C76963">
        <w:rPr>
          <w:rFonts w:eastAsia="MS Mincho"/>
          <w:b/>
          <w:bCs/>
        </w:rPr>
        <w:t xml:space="preserve">Proposal </w:t>
      </w:r>
      <w:r w:rsidR="00175A64">
        <w:rPr>
          <w:rFonts w:eastAsia="MS Mincho"/>
          <w:b/>
          <w:bCs/>
        </w:rPr>
        <w:t>4</w:t>
      </w:r>
      <w:r w:rsidRPr="00C76963">
        <w:rPr>
          <w:rFonts w:eastAsia="MS Mincho"/>
          <w:b/>
          <w:bCs/>
        </w:rPr>
        <w:t xml:space="preserve">: </w:t>
      </w:r>
      <w:r w:rsidRPr="00C76963">
        <w:rPr>
          <w:rFonts w:eastAsia="SimSun"/>
          <w:b/>
          <w:bCs/>
          <w:lang w:eastAsia="zh-CN"/>
        </w:rPr>
        <w:t>For TDD bands, specify PC3 TRP spec with 3dB offset based on corresponding PC2 TRP spec. Evaluate FDD separately.</w:t>
      </w:r>
    </w:p>
    <w:p w14:paraId="1F16DF28" w14:textId="465530DF" w:rsidR="00C76963" w:rsidRDefault="00C76963" w:rsidP="00C76963">
      <w:pPr>
        <w:tabs>
          <w:tab w:val="num" w:pos="720"/>
        </w:tabs>
        <w:jc w:val="both"/>
        <w:rPr>
          <w:b/>
          <w:bCs/>
          <w:i/>
          <w:iCs/>
          <w:lang w:eastAsia="ja-JP"/>
        </w:rPr>
      </w:pPr>
      <w:r w:rsidRPr="00C76963">
        <w:rPr>
          <w:b/>
          <w:bCs/>
          <w:i/>
          <w:iCs/>
          <w:lang w:eastAsia="ja-JP"/>
        </w:rPr>
        <w:t>Observation 2: RAN4 successfully discussed and provided a TT recommendation</w:t>
      </w:r>
      <w:r w:rsidR="009D68FA">
        <w:rPr>
          <w:b/>
          <w:bCs/>
          <w:i/>
          <w:iCs/>
          <w:lang w:eastAsia="ja-JP"/>
        </w:rPr>
        <w:t xml:space="preserve"> to RAN5</w:t>
      </w:r>
      <w:r w:rsidRPr="00C76963">
        <w:rPr>
          <w:b/>
          <w:bCs/>
          <w:i/>
          <w:iCs/>
          <w:lang w:eastAsia="ja-JP"/>
        </w:rPr>
        <w:t xml:space="preserve"> as part of the Release 17 core requirements defined for the Browse Mode scenarios for n41 and n78. The aspect of provide Release 18 TT recommendation is already part of the Release 18 FR1 TRP TRS enhancements work item.</w:t>
      </w:r>
    </w:p>
    <w:p w14:paraId="33F348F0" w14:textId="77777777" w:rsidR="00C76963" w:rsidRPr="00C76963" w:rsidRDefault="00C76963" w:rsidP="00C76963">
      <w:pPr>
        <w:tabs>
          <w:tab w:val="num" w:pos="720"/>
        </w:tabs>
        <w:jc w:val="both"/>
        <w:rPr>
          <w:b/>
          <w:bCs/>
          <w:i/>
          <w:iCs/>
          <w:lang w:eastAsia="ja-JP"/>
        </w:rPr>
      </w:pPr>
    </w:p>
    <w:p w14:paraId="1C02E60E" w14:textId="77777777" w:rsidR="00C76963" w:rsidRPr="00C76963" w:rsidRDefault="00C76963" w:rsidP="00C76963">
      <w:pPr>
        <w:tabs>
          <w:tab w:val="num" w:pos="720"/>
        </w:tabs>
        <w:jc w:val="both"/>
        <w:rPr>
          <w:b/>
          <w:bCs/>
          <w:i/>
          <w:iCs/>
          <w:lang w:eastAsia="ja-JP"/>
        </w:rPr>
      </w:pPr>
      <w:r w:rsidRPr="00C76963">
        <w:rPr>
          <w:b/>
          <w:bCs/>
          <w:i/>
          <w:iCs/>
          <w:lang w:eastAsia="ja-JP"/>
        </w:rPr>
        <w:t>Observation 3: The definition of TT as a fraction of MU was useful since the MU is eventually defined separately for &lt;3 GHz and &gt;=3 GHz.</w:t>
      </w:r>
    </w:p>
    <w:p w14:paraId="36405564" w14:textId="77777777" w:rsidR="00C76963" w:rsidRDefault="00C76963" w:rsidP="00C76963">
      <w:pPr>
        <w:tabs>
          <w:tab w:val="num" w:pos="720"/>
        </w:tabs>
        <w:jc w:val="both"/>
        <w:rPr>
          <w:lang w:eastAsia="ja-JP"/>
        </w:rPr>
      </w:pPr>
    </w:p>
    <w:p w14:paraId="5D18C0E8" w14:textId="52EB1B7A" w:rsidR="00C76963" w:rsidRPr="00C76963" w:rsidRDefault="00C76963" w:rsidP="00C76963">
      <w:pPr>
        <w:tabs>
          <w:tab w:val="num" w:pos="720"/>
        </w:tabs>
        <w:jc w:val="both"/>
        <w:rPr>
          <w:b/>
          <w:bCs/>
          <w:i/>
          <w:iCs/>
          <w:lang w:eastAsia="ja-JP"/>
        </w:rPr>
      </w:pPr>
      <w:r w:rsidRPr="00C76963">
        <w:rPr>
          <w:b/>
          <w:bCs/>
          <w:i/>
          <w:iCs/>
          <w:lang w:eastAsia="ja-JP"/>
        </w:rPr>
        <w:t>Observation 4: The NR FR1 TRP TRS MU recommendation for Talk Mode MU is available in TR 38.161 [1]. Considering the current recommended MU value for Talk Mode is not significantly higher, the recommendation for TT (0.62*MU) should</w:t>
      </w:r>
      <w:r w:rsidR="009D68FA">
        <w:rPr>
          <w:b/>
          <w:bCs/>
          <w:i/>
          <w:iCs/>
          <w:lang w:eastAsia="ja-JP"/>
        </w:rPr>
        <w:t xml:space="preserve"> also</w:t>
      </w:r>
      <w:r w:rsidRPr="00C76963">
        <w:rPr>
          <w:b/>
          <w:bCs/>
          <w:i/>
          <w:iCs/>
          <w:lang w:eastAsia="ja-JP"/>
        </w:rPr>
        <w:t xml:space="preserve"> hold good for Talk Mode. </w:t>
      </w:r>
    </w:p>
    <w:p w14:paraId="19AD6D7C" w14:textId="77777777" w:rsidR="00C76963" w:rsidRDefault="00C76963" w:rsidP="00C76963">
      <w:pPr>
        <w:tabs>
          <w:tab w:val="num" w:pos="720"/>
        </w:tabs>
        <w:jc w:val="both"/>
        <w:rPr>
          <w:lang w:eastAsia="ja-JP"/>
        </w:rPr>
      </w:pPr>
    </w:p>
    <w:p w14:paraId="2D4DE26C" w14:textId="653E88F1" w:rsidR="00C76963" w:rsidRDefault="00C76963" w:rsidP="00C76963">
      <w:pPr>
        <w:tabs>
          <w:tab w:val="num" w:pos="720"/>
        </w:tabs>
        <w:jc w:val="both"/>
        <w:rPr>
          <w:b/>
          <w:bCs/>
          <w:lang w:eastAsia="ja-JP"/>
        </w:rPr>
      </w:pPr>
      <w:r w:rsidRPr="00144FFD">
        <w:rPr>
          <w:b/>
          <w:bCs/>
          <w:lang w:eastAsia="ja-JP"/>
        </w:rPr>
        <w:t xml:space="preserve">Proposal </w:t>
      </w:r>
      <w:r w:rsidR="00175A64">
        <w:rPr>
          <w:b/>
          <w:bCs/>
          <w:lang w:eastAsia="ja-JP"/>
        </w:rPr>
        <w:t>5</w:t>
      </w:r>
      <w:r w:rsidRPr="00144FFD">
        <w:rPr>
          <w:b/>
          <w:bCs/>
          <w:lang w:eastAsia="ja-JP"/>
        </w:rPr>
        <w:t xml:space="preserve">: </w:t>
      </w:r>
      <w:r>
        <w:rPr>
          <w:b/>
          <w:bCs/>
          <w:lang w:eastAsia="ja-JP"/>
        </w:rPr>
        <w:t>As response to RAN5 LS, agree that RAN4 shall provide a TT recommendation as part of the Release 18 requirements package, aligning with Release 17 approach</w:t>
      </w:r>
      <w:r w:rsidRPr="00144FFD">
        <w:rPr>
          <w:b/>
          <w:bCs/>
          <w:lang w:eastAsia="ja-JP"/>
        </w:rPr>
        <w:t>.</w:t>
      </w:r>
    </w:p>
    <w:p w14:paraId="1FF421CD" w14:textId="77777777" w:rsidR="00C76963" w:rsidRDefault="00C76963" w:rsidP="00C76963">
      <w:pPr>
        <w:tabs>
          <w:tab w:val="num" w:pos="720"/>
        </w:tabs>
        <w:jc w:val="both"/>
        <w:rPr>
          <w:b/>
          <w:bCs/>
          <w:lang w:eastAsia="ja-JP"/>
        </w:rPr>
      </w:pPr>
    </w:p>
    <w:p w14:paraId="73C183C5" w14:textId="65DBB9C7" w:rsidR="00C76963" w:rsidRPr="00144FFD" w:rsidRDefault="00C76963" w:rsidP="00C76963">
      <w:pPr>
        <w:tabs>
          <w:tab w:val="num" w:pos="720"/>
        </w:tabs>
        <w:jc w:val="both"/>
        <w:rPr>
          <w:b/>
          <w:bCs/>
          <w:lang w:eastAsia="ja-JP"/>
        </w:rPr>
      </w:pPr>
      <w:r>
        <w:rPr>
          <w:b/>
          <w:bCs/>
          <w:lang w:eastAsia="ja-JP"/>
        </w:rPr>
        <w:t xml:space="preserve">Proposal </w:t>
      </w:r>
      <w:r w:rsidR="00175A64">
        <w:rPr>
          <w:b/>
          <w:bCs/>
          <w:lang w:eastAsia="ja-JP"/>
        </w:rPr>
        <w:t>6</w:t>
      </w:r>
      <w:r>
        <w:rPr>
          <w:b/>
          <w:bCs/>
          <w:lang w:eastAsia="ja-JP"/>
        </w:rPr>
        <w:t xml:space="preserve">: </w:t>
      </w:r>
      <w:r w:rsidRPr="00144FFD">
        <w:rPr>
          <w:b/>
          <w:bCs/>
          <w:lang w:eastAsia="ja-JP"/>
        </w:rPr>
        <w:t>Propose</w:t>
      </w:r>
      <w:r>
        <w:rPr>
          <w:b/>
          <w:bCs/>
          <w:lang w:eastAsia="ja-JP"/>
        </w:rPr>
        <w:t xml:space="preserve"> recommended</w:t>
      </w:r>
      <w:r w:rsidRPr="00144FFD">
        <w:rPr>
          <w:b/>
          <w:bCs/>
          <w:lang w:eastAsia="ja-JP"/>
        </w:rPr>
        <w:t xml:space="preserve"> TT as a fraction/ration of MU </w:t>
      </w:r>
      <w:r>
        <w:rPr>
          <w:b/>
          <w:bCs/>
          <w:lang w:eastAsia="ja-JP"/>
        </w:rPr>
        <w:t>so that TT can be computed, like MU for &lt; 3GHz and &gt;= 3 GHz, aligning with Release 17 approach</w:t>
      </w:r>
      <w:r w:rsidRPr="00144FFD">
        <w:rPr>
          <w:b/>
          <w:bCs/>
          <w:lang w:eastAsia="ja-JP"/>
        </w:rPr>
        <w:t>.</w:t>
      </w:r>
    </w:p>
    <w:p w14:paraId="18AA975C" w14:textId="77777777" w:rsidR="00F50BB9" w:rsidRDefault="00F50BB9" w:rsidP="00F50BB9"/>
    <w:p w14:paraId="695E56C0" w14:textId="77777777" w:rsidR="009D68FA" w:rsidRDefault="009D68FA" w:rsidP="009D68FA">
      <w:pPr>
        <w:rPr>
          <w:rFonts w:eastAsia="MS Mincho"/>
          <w:lang w:val="en-GB"/>
        </w:rPr>
      </w:pPr>
      <w:r w:rsidRPr="00144FFD">
        <w:rPr>
          <w:b/>
          <w:bCs/>
          <w:lang w:eastAsia="ja-JP"/>
        </w:rPr>
        <w:t xml:space="preserve">Proposal </w:t>
      </w:r>
      <w:r>
        <w:rPr>
          <w:b/>
          <w:bCs/>
          <w:lang w:eastAsia="ja-JP"/>
        </w:rPr>
        <w:t>7</w:t>
      </w:r>
      <w:r w:rsidRPr="00144FFD">
        <w:rPr>
          <w:b/>
          <w:bCs/>
          <w:lang w:eastAsia="ja-JP"/>
        </w:rPr>
        <w:t>:</w:t>
      </w:r>
      <w:r>
        <w:rPr>
          <w:b/>
          <w:bCs/>
          <w:lang w:eastAsia="ja-JP"/>
        </w:rPr>
        <w:t xml:space="preserve"> Once the Release 18 requirements are confirmed for n1, n28, n41, n78 leverage the TT recommendation provided in Release 17 (0.62*MU) and include as part of Rel-18 core requirements package for Talk and Browse Mode.  </w:t>
      </w:r>
    </w:p>
    <w:p w14:paraId="02EFCD87" w14:textId="77777777" w:rsidR="00C76963" w:rsidRDefault="00C76963" w:rsidP="00F50BB9"/>
    <w:p w14:paraId="56516AD1" w14:textId="25834DA3" w:rsidR="00C76963" w:rsidRPr="00135BB4" w:rsidRDefault="00C76963" w:rsidP="00C76963">
      <w:pPr>
        <w:rPr>
          <w:b/>
          <w:bCs/>
        </w:rPr>
      </w:pPr>
      <w:r w:rsidRPr="00135BB4">
        <w:rPr>
          <w:b/>
          <w:bCs/>
        </w:rPr>
        <w:t xml:space="preserve">Proposal </w:t>
      </w:r>
      <w:r w:rsidR="00175A64">
        <w:rPr>
          <w:b/>
          <w:bCs/>
        </w:rPr>
        <w:t>8</w:t>
      </w:r>
      <w:r w:rsidRPr="00135BB4">
        <w:rPr>
          <w:b/>
          <w:bCs/>
        </w:rPr>
        <w:t xml:space="preserve">:  </w:t>
      </w:r>
      <w:r>
        <w:rPr>
          <w:b/>
          <w:bCs/>
        </w:rPr>
        <w:t xml:space="preserve">To help with further analysis vis-à-vis JBPR, when consolidating all the data from performance campaign devices into a pool to create CDF curves, have a mechanism to highlight (color code </w:t>
      </w:r>
      <w:proofErr w:type="spellStart"/>
      <w:r>
        <w:rPr>
          <w:b/>
          <w:bCs/>
        </w:rPr>
        <w:t>etc</w:t>
      </w:r>
      <w:proofErr w:type="spellEnd"/>
      <w:r>
        <w:rPr>
          <w:b/>
          <w:bCs/>
        </w:rPr>
        <w:t>) the data point(s) coming from DUTs</w:t>
      </w:r>
      <w:r w:rsidRPr="00135BB4">
        <w:rPr>
          <w:b/>
          <w:bCs/>
        </w:rPr>
        <w:t xml:space="preserve"> support</w:t>
      </w:r>
      <w:r>
        <w:rPr>
          <w:b/>
          <w:bCs/>
        </w:rPr>
        <w:t>ing</w:t>
      </w:r>
      <w:r w:rsidRPr="00135BB4">
        <w:rPr>
          <w:b/>
          <w:bCs/>
        </w:rPr>
        <w:t xml:space="preserve"> </w:t>
      </w:r>
      <w:r>
        <w:rPr>
          <w:b/>
          <w:bCs/>
        </w:rPr>
        <w:t>all 4 bands – n1, n28, n41 and n78</w:t>
      </w:r>
      <w:r w:rsidRPr="00135BB4">
        <w:rPr>
          <w:b/>
          <w:bCs/>
        </w:rPr>
        <w:t xml:space="preserve">. </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27725094" w14:textId="7CA23D48" w:rsidR="00C05A46" w:rsidRPr="00C76963" w:rsidRDefault="00991009" w:rsidP="00C30005">
      <w:pPr>
        <w:pStyle w:val="EX"/>
        <w:rPr>
          <w:rFonts w:eastAsia="Calibri"/>
          <w:bCs/>
          <w:sz w:val="24"/>
          <w:szCs w:val="24"/>
          <w:lang w:val="en-US"/>
        </w:rPr>
      </w:pPr>
      <w:r w:rsidRPr="00C76963">
        <w:rPr>
          <w:rFonts w:eastAsia="Calibri"/>
          <w:sz w:val="24"/>
          <w:szCs w:val="24"/>
          <w:lang w:val="en-US"/>
        </w:rPr>
        <w:t>R4-2402875</w:t>
      </w:r>
      <w:r w:rsidR="00C05A46" w:rsidRPr="00C76963">
        <w:rPr>
          <w:rFonts w:eastAsia="Calibri"/>
          <w:bCs/>
          <w:sz w:val="24"/>
          <w:szCs w:val="24"/>
          <w:lang w:val="en-US"/>
        </w:rPr>
        <w:t xml:space="preserve">, </w:t>
      </w:r>
      <w:r w:rsidRPr="00C76963">
        <w:rPr>
          <w:rFonts w:eastAsia="Calibri"/>
          <w:bCs/>
          <w:sz w:val="24"/>
          <w:szCs w:val="24"/>
          <w:lang w:val="en-US"/>
        </w:rPr>
        <w:t>WF for [110][331] NR_FR1_TRP_TRS_enh</w:t>
      </w:r>
      <w:r w:rsidR="00974E22" w:rsidRPr="00C76963">
        <w:rPr>
          <w:rFonts w:eastAsia="Calibri"/>
          <w:bCs/>
          <w:sz w:val="24"/>
          <w:szCs w:val="24"/>
          <w:lang w:val="en-US"/>
        </w:rPr>
        <w:t xml:space="preserve">, </w:t>
      </w:r>
      <w:r w:rsidRPr="00C76963">
        <w:rPr>
          <w:rFonts w:eastAsia="Calibri"/>
          <w:bCs/>
          <w:sz w:val="24"/>
          <w:szCs w:val="24"/>
          <w:lang w:val="en-US"/>
        </w:rPr>
        <w:t>Vivo, RAN4#110, April 15</w:t>
      </w:r>
      <w:r w:rsidRPr="00C76963">
        <w:rPr>
          <w:rFonts w:eastAsia="Calibri"/>
          <w:bCs/>
          <w:sz w:val="24"/>
          <w:szCs w:val="24"/>
          <w:vertAlign w:val="superscript"/>
          <w:lang w:val="en-US"/>
        </w:rPr>
        <w:t>th</w:t>
      </w:r>
      <w:r w:rsidRPr="00C76963">
        <w:rPr>
          <w:rFonts w:eastAsia="Calibri"/>
          <w:bCs/>
          <w:sz w:val="24"/>
          <w:szCs w:val="24"/>
          <w:lang w:val="en-US"/>
        </w:rPr>
        <w:t xml:space="preserve"> to April 20</w:t>
      </w:r>
      <w:r w:rsidRPr="00C76963">
        <w:rPr>
          <w:rFonts w:eastAsia="Calibri"/>
          <w:bCs/>
          <w:sz w:val="24"/>
          <w:szCs w:val="24"/>
          <w:vertAlign w:val="superscript"/>
          <w:lang w:val="en-US"/>
        </w:rPr>
        <w:t>th</w:t>
      </w:r>
      <w:r w:rsidRPr="00C76963">
        <w:rPr>
          <w:rFonts w:eastAsia="Calibri"/>
          <w:bCs/>
          <w:sz w:val="24"/>
          <w:szCs w:val="24"/>
          <w:lang w:val="en-US"/>
        </w:rPr>
        <w:t xml:space="preserve">, 2024 </w:t>
      </w:r>
    </w:p>
    <w:p w14:paraId="7988210C" w14:textId="32B96428" w:rsidR="00C30005" w:rsidRPr="00C76963" w:rsidRDefault="00C30005" w:rsidP="00C30005">
      <w:pPr>
        <w:pStyle w:val="EX"/>
        <w:rPr>
          <w:rFonts w:eastAsia="Calibri"/>
          <w:bCs/>
          <w:sz w:val="24"/>
          <w:szCs w:val="24"/>
          <w:lang w:val="en-US"/>
        </w:rPr>
      </w:pPr>
      <w:r w:rsidRPr="00C76963">
        <w:rPr>
          <w:rFonts w:eastAsia="Calibri"/>
          <w:sz w:val="24"/>
          <w:szCs w:val="24"/>
        </w:rPr>
        <w:lastRenderedPageBreak/>
        <w:t>TS 38.161</w:t>
      </w:r>
      <w:r w:rsidR="00CB5682" w:rsidRPr="00C76963">
        <w:rPr>
          <w:rFonts w:eastAsia="Calibri"/>
          <w:sz w:val="24"/>
          <w:szCs w:val="24"/>
        </w:rPr>
        <w:t xml:space="preserve">, </w:t>
      </w:r>
      <w:r w:rsidRPr="00C76963">
        <w:rPr>
          <w:rFonts w:eastAsia="Calibri"/>
          <w:sz w:val="24"/>
          <w:szCs w:val="24"/>
          <w:lang w:val="en-US"/>
        </w:rPr>
        <w:t xml:space="preserve">User Equipment (UE) TRP (Total Radiated Power) and TRS (Total Radiated Sensitivity) requirements; </w:t>
      </w:r>
      <w:r w:rsidRPr="00C76963">
        <w:rPr>
          <w:rFonts w:eastAsia="Calibri"/>
          <w:bCs/>
          <w:sz w:val="24"/>
          <w:szCs w:val="24"/>
          <w:lang w:val="en-US"/>
        </w:rPr>
        <w:t xml:space="preserve">Range 1 Standalone and Range 1 Interworking operation with other radios </w:t>
      </w:r>
      <w:r w:rsidRPr="00C76963">
        <w:rPr>
          <w:rFonts w:eastAsia="Calibri"/>
          <w:bCs/>
          <w:sz w:val="24"/>
          <w:szCs w:val="24"/>
        </w:rPr>
        <w:t>(Release 17)</w:t>
      </w:r>
    </w:p>
    <w:p w14:paraId="57637700" w14:textId="17A86072" w:rsidR="00C30005" w:rsidRPr="00C76963" w:rsidRDefault="00C30005" w:rsidP="00C30005">
      <w:pPr>
        <w:pStyle w:val="EX"/>
        <w:rPr>
          <w:rFonts w:eastAsia="Calibri"/>
          <w:sz w:val="24"/>
          <w:szCs w:val="24"/>
        </w:rPr>
      </w:pPr>
      <w:r w:rsidRPr="00C76963">
        <w:rPr>
          <w:rFonts w:eastAsia="Calibri"/>
          <w:sz w:val="24"/>
          <w:szCs w:val="24"/>
        </w:rPr>
        <w:t>TR 38.834</w:t>
      </w:r>
      <w:r w:rsidR="00D47406" w:rsidRPr="00C76963">
        <w:rPr>
          <w:rFonts w:eastAsia="Calibri"/>
          <w:sz w:val="24"/>
          <w:szCs w:val="24"/>
        </w:rPr>
        <w:t>,</w:t>
      </w:r>
      <w:r w:rsidR="00D47406" w:rsidRPr="00C76963">
        <w:rPr>
          <w:rFonts w:eastAsia="Calibri"/>
          <w:bCs/>
          <w:sz w:val="24"/>
          <w:szCs w:val="24"/>
        </w:rPr>
        <w:t xml:space="preserve"> </w:t>
      </w:r>
      <w:r w:rsidRPr="00C76963">
        <w:rPr>
          <w:rFonts w:eastAsia="Calibri"/>
          <w:bCs/>
          <w:sz w:val="24"/>
          <w:szCs w:val="24"/>
        </w:rPr>
        <w:t xml:space="preserve">Measurements of User Equipment (UE) Over-the-Air (OTA) performance for NR FR1; </w:t>
      </w:r>
      <w:r w:rsidRPr="00C76963">
        <w:rPr>
          <w:rFonts w:eastAsia="Calibri"/>
          <w:sz w:val="24"/>
          <w:szCs w:val="24"/>
        </w:rPr>
        <w:t>Total Radiated Power (TRP) and Total Radiated Sensitivity (TRS) test methodology (Release 17)</w:t>
      </w:r>
    </w:p>
    <w:p w14:paraId="5D24D7D3" w14:textId="51D96A8A" w:rsidR="0054694C" w:rsidRPr="00C76963" w:rsidRDefault="00991009" w:rsidP="0054694C">
      <w:pPr>
        <w:pStyle w:val="EX"/>
        <w:rPr>
          <w:rFonts w:eastAsia="Calibri"/>
          <w:bCs/>
          <w:sz w:val="24"/>
          <w:szCs w:val="24"/>
          <w:lang w:val="en-US"/>
        </w:rPr>
      </w:pPr>
      <w:r w:rsidRPr="00C76963">
        <w:rPr>
          <w:rFonts w:eastAsia="Calibri"/>
          <w:sz w:val="24"/>
          <w:szCs w:val="24"/>
          <w:lang w:val="en-US"/>
        </w:rPr>
        <w:t>R4-2404119</w:t>
      </w:r>
      <w:r w:rsidR="0054694C" w:rsidRPr="00C76963">
        <w:rPr>
          <w:rFonts w:eastAsia="Calibri"/>
          <w:sz w:val="24"/>
          <w:szCs w:val="24"/>
        </w:rPr>
        <w:t xml:space="preserve">, </w:t>
      </w:r>
      <w:r w:rsidRPr="00C76963">
        <w:rPr>
          <w:rFonts w:eastAsia="Calibri"/>
          <w:bCs/>
          <w:sz w:val="24"/>
          <w:szCs w:val="24"/>
          <w:lang w:val="en-US"/>
        </w:rPr>
        <w:t>LS to RAN4 on TT work for Rel-18 NR FR1 TRP TRS</w:t>
      </w:r>
      <w:r w:rsidR="0054694C" w:rsidRPr="00C76963">
        <w:rPr>
          <w:rFonts w:eastAsia="Calibri"/>
          <w:bCs/>
          <w:sz w:val="24"/>
          <w:szCs w:val="24"/>
          <w:lang w:val="en-US"/>
        </w:rPr>
        <w:t xml:space="preserve">, </w:t>
      </w:r>
      <w:r w:rsidRPr="00C76963">
        <w:rPr>
          <w:rFonts w:eastAsia="Calibri"/>
          <w:bCs/>
          <w:sz w:val="24"/>
          <w:szCs w:val="24"/>
          <w:lang w:val="en-US"/>
        </w:rPr>
        <w:t>RAN5</w:t>
      </w:r>
      <w:r w:rsidR="0054694C" w:rsidRPr="00C76963">
        <w:rPr>
          <w:rFonts w:eastAsia="Calibri"/>
          <w:bCs/>
          <w:sz w:val="24"/>
          <w:szCs w:val="24"/>
          <w:lang w:val="en-US"/>
        </w:rPr>
        <w:t>, RAN4#</w:t>
      </w:r>
      <w:r w:rsidRPr="00C76963">
        <w:rPr>
          <w:rFonts w:eastAsia="Calibri"/>
          <w:bCs/>
          <w:sz w:val="24"/>
          <w:szCs w:val="24"/>
          <w:lang w:val="en-US"/>
        </w:rPr>
        <w:t>110-bis</w:t>
      </w:r>
      <w:r w:rsidR="0054694C" w:rsidRPr="00C76963">
        <w:rPr>
          <w:rFonts w:eastAsia="Calibri"/>
          <w:bCs/>
          <w:sz w:val="24"/>
          <w:szCs w:val="24"/>
          <w:lang w:val="en-US"/>
        </w:rPr>
        <w:t xml:space="preserve">, </w:t>
      </w:r>
      <w:r w:rsidRPr="00C76963">
        <w:rPr>
          <w:rFonts w:eastAsia="Calibri"/>
          <w:bCs/>
          <w:sz w:val="24"/>
          <w:szCs w:val="24"/>
          <w:lang w:val="en-US"/>
        </w:rPr>
        <w:t>April 15</w:t>
      </w:r>
      <w:proofErr w:type="gramStart"/>
      <w:r w:rsidRPr="00C76963">
        <w:rPr>
          <w:rFonts w:eastAsia="Calibri"/>
          <w:bCs/>
          <w:sz w:val="24"/>
          <w:szCs w:val="24"/>
          <w:vertAlign w:val="superscript"/>
          <w:lang w:val="en-US"/>
        </w:rPr>
        <w:t>th</w:t>
      </w:r>
      <w:r w:rsidRPr="00C76963">
        <w:rPr>
          <w:rFonts w:eastAsia="Calibri"/>
          <w:bCs/>
          <w:sz w:val="24"/>
          <w:szCs w:val="24"/>
          <w:lang w:val="en-US"/>
        </w:rPr>
        <w:t>,-</w:t>
      </w:r>
      <w:proofErr w:type="gramEnd"/>
      <w:r w:rsidRPr="00C76963">
        <w:rPr>
          <w:rFonts w:eastAsia="Calibri"/>
          <w:bCs/>
          <w:sz w:val="24"/>
          <w:szCs w:val="24"/>
          <w:lang w:val="en-US"/>
        </w:rPr>
        <w:t xml:space="preserve"> April 19</w:t>
      </w:r>
      <w:r w:rsidRPr="00C76963">
        <w:rPr>
          <w:rFonts w:eastAsia="Calibri"/>
          <w:bCs/>
          <w:sz w:val="24"/>
          <w:szCs w:val="24"/>
          <w:vertAlign w:val="superscript"/>
          <w:lang w:val="en-US"/>
        </w:rPr>
        <w:t>th</w:t>
      </w:r>
      <w:r w:rsidRPr="00C76963">
        <w:rPr>
          <w:rFonts w:eastAsia="Calibri"/>
          <w:bCs/>
          <w:sz w:val="24"/>
          <w:szCs w:val="24"/>
          <w:lang w:val="en-US"/>
        </w:rPr>
        <w:t>, 2024</w:t>
      </w:r>
    </w:p>
    <w:p w14:paraId="042E66D4" w14:textId="77777777" w:rsidR="00991009" w:rsidRPr="00C76963" w:rsidRDefault="00991009" w:rsidP="00991009">
      <w:pPr>
        <w:pStyle w:val="EX"/>
        <w:rPr>
          <w:rFonts w:eastAsia="Calibri"/>
          <w:sz w:val="24"/>
          <w:szCs w:val="24"/>
          <w:lang w:val="en-US"/>
        </w:rPr>
      </w:pPr>
      <w:r w:rsidRPr="00C76963">
        <w:rPr>
          <w:rFonts w:eastAsia="Calibri"/>
          <w:sz w:val="24"/>
          <w:szCs w:val="24"/>
          <w:lang w:val="en-US"/>
        </w:rPr>
        <w:t xml:space="preserve">R4-2214797, Reply LS on TT and requirements, Vivo, RAN4#104e, August 15th- August 25th, </w:t>
      </w:r>
      <w:proofErr w:type="gramStart"/>
      <w:r w:rsidRPr="00C76963">
        <w:rPr>
          <w:rFonts w:eastAsia="Calibri"/>
          <w:sz w:val="24"/>
          <w:szCs w:val="24"/>
          <w:lang w:val="en-US"/>
        </w:rPr>
        <w:t>2022</w:t>
      </w:r>
      <w:proofErr w:type="gramEnd"/>
    </w:p>
    <w:p w14:paraId="7EE9E4D3" w14:textId="77777777" w:rsidR="00991009" w:rsidRPr="00C76963" w:rsidRDefault="00991009" w:rsidP="00991009">
      <w:pPr>
        <w:pStyle w:val="EX"/>
        <w:rPr>
          <w:rFonts w:eastAsia="Calibri"/>
          <w:sz w:val="24"/>
          <w:szCs w:val="24"/>
          <w:lang w:val="en-US"/>
        </w:rPr>
      </w:pPr>
      <w:r w:rsidRPr="00C76963">
        <w:rPr>
          <w:rFonts w:eastAsia="Calibri"/>
          <w:sz w:val="24"/>
          <w:szCs w:val="24"/>
          <w:lang w:val="en-US"/>
        </w:rPr>
        <w:t>R4-1714549, LS-Inclusion OTA Receiver Performance Requirement into Harmonised standard for user Equipment under RED from ERM /MSG TFES (R4-1712121), Intel, RAN5#85</w:t>
      </w:r>
    </w:p>
    <w:p w14:paraId="55F866AE" w14:textId="63D59BCB" w:rsidR="00991009" w:rsidRPr="00C76963" w:rsidRDefault="00991009" w:rsidP="00991009">
      <w:pPr>
        <w:pStyle w:val="ZT"/>
        <w:framePr w:wrap="auto" w:hAnchor="text" w:yAlign="inline"/>
        <w:ind w:left="560" w:hanging="560"/>
        <w:jc w:val="left"/>
        <w:rPr>
          <w:rFonts w:ascii="Times New Roman" w:eastAsia="Calibri" w:hAnsi="Times New Roman"/>
          <w:b w:val="0"/>
          <w:sz w:val="24"/>
          <w:szCs w:val="24"/>
          <w:lang w:val="en-US"/>
        </w:rPr>
      </w:pPr>
      <w:r w:rsidRPr="00C76963">
        <w:rPr>
          <w:rFonts w:ascii="Times New Roman" w:eastAsia="Calibri" w:hAnsi="Times New Roman"/>
          <w:b w:val="0"/>
          <w:sz w:val="24"/>
          <w:szCs w:val="24"/>
          <w:lang w:val="en-US"/>
        </w:rPr>
        <w:t>[7]</w:t>
      </w:r>
      <w:r w:rsidRPr="00C76963">
        <w:rPr>
          <w:rFonts w:ascii="Times New Roman" w:eastAsia="Calibri" w:hAnsi="Times New Roman"/>
          <w:b w:val="0"/>
          <w:sz w:val="24"/>
          <w:szCs w:val="24"/>
          <w:lang w:val="en-US"/>
        </w:rPr>
        <w:tab/>
        <w:t>TS 38.561, User Equipment (UE) conformance specification; UE TRP (Total Radiated Power) and TRS (Total Radiated Sensitivity) requirements and test methodologies for FR1 (NR SA and EN-DC</w:t>
      </w:r>
      <w:proofErr w:type="gramStart"/>
      <w:r w:rsidRPr="00C76963">
        <w:rPr>
          <w:rFonts w:ascii="Times New Roman" w:eastAsia="Calibri" w:hAnsi="Times New Roman"/>
          <w:b w:val="0"/>
          <w:sz w:val="24"/>
          <w:szCs w:val="24"/>
          <w:lang w:val="en-US"/>
        </w:rPr>
        <w:t>);</w:t>
      </w:r>
      <w:proofErr w:type="gramEnd"/>
    </w:p>
    <w:p w14:paraId="42FEE7C7" w14:textId="3588059E" w:rsidR="00991009" w:rsidRPr="00C76963" w:rsidRDefault="00991009" w:rsidP="00991009">
      <w:pPr>
        <w:pStyle w:val="EX"/>
        <w:numPr>
          <w:ilvl w:val="0"/>
          <w:numId w:val="0"/>
        </w:numPr>
        <w:ind w:left="369"/>
        <w:rPr>
          <w:rFonts w:eastAsia="Calibri"/>
          <w:bCs/>
          <w:sz w:val="24"/>
          <w:szCs w:val="24"/>
          <w:lang w:val="en-US"/>
        </w:rPr>
      </w:pPr>
      <w:r w:rsidRPr="00C76963">
        <w:rPr>
          <w:sz w:val="24"/>
          <w:szCs w:val="24"/>
        </w:rPr>
        <w:t>(</w:t>
      </w:r>
      <w:r w:rsidRPr="00C76963">
        <w:rPr>
          <w:rStyle w:val="ZGSM"/>
          <w:sz w:val="24"/>
          <w:szCs w:val="24"/>
        </w:rPr>
        <w:t>Release 17</w:t>
      </w:r>
      <w:r w:rsidRPr="00C76963">
        <w:rPr>
          <w:sz w:val="24"/>
          <w:szCs w:val="24"/>
        </w:rPr>
        <w:t>)</w:t>
      </w:r>
    </w:p>
    <w:p w14:paraId="17128DD4" w14:textId="21E9EB37" w:rsidR="00991009" w:rsidRPr="00C76963" w:rsidRDefault="00991009" w:rsidP="00C76963">
      <w:pPr>
        <w:pStyle w:val="EX"/>
        <w:numPr>
          <w:ilvl w:val="0"/>
          <w:numId w:val="0"/>
        </w:numPr>
        <w:ind w:left="284" w:hanging="284"/>
        <w:rPr>
          <w:rFonts w:eastAsia="Calibri"/>
          <w:bCs/>
          <w:sz w:val="24"/>
          <w:szCs w:val="24"/>
          <w:lang w:val="en-US"/>
        </w:rPr>
      </w:pPr>
      <w:r w:rsidRPr="00C76963">
        <w:rPr>
          <w:rFonts w:eastAsia="Calibri"/>
          <w:bCs/>
          <w:sz w:val="24"/>
          <w:szCs w:val="24"/>
          <w:lang w:val="en-US"/>
        </w:rPr>
        <w:t>[8]</w:t>
      </w:r>
      <w:r w:rsidRPr="00C76963">
        <w:rPr>
          <w:rFonts w:eastAsia="Calibri"/>
          <w:bCs/>
          <w:sz w:val="24"/>
          <w:szCs w:val="24"/>
          <w:lang w:val="en-US"/>
        </w:rPr>
        <w:tab/>
      </w:r>
      <w:r w:rsidR="00C76963">
        <w:rPr>
          <w:rFonts w:eastAsia="Calibri"/>
          <w:bCs/>
          <w:sz w:val="24"/>
          <w:szCs w:val="24"/>
          <w:lang w:val="en-US"/>
        </w:rPr>
        <w:t xml:space="preserve"> </w:t>
      </w:r>
      <w:r w:rsidR="00C76963">
        <w:rPr>
          <w:rFonts w:eastAsia="Calibri"/>
          <w:bCs/>
          <w:sz w:val="24"/>
          <w:szCs w:val="24"/>
          <w:lang w:val="en-US"/>
        </w:rPr>
        <w:tab/>
        <w:t xml:space="preserve">    </w:t>
      </w:r>
      <w:proofErr w:type="spellStart"/>
      <w:r w:rsidRPr="00C76963">
        <w:rPr>
          <w:rFonts w:eastAsia="Calibri"/>
          <w:sz w:val="24"/>
          <w:szCs w:val="24"/>
          <w:lang w:val="en-US"/>
        </w:rPr>
        <w:t>Lingsheng</w:t>
      </w:r>
      <w:proofErr w:type="spellEnd"/>
      <w:r w:rsidRPr="00C76963">
        <w:rPr>
          <w:rFonts w:eastAsia="Calibri"/>
          <w:sz w:val="24"/>
          <w:szCs w:val="24"/>
          <w:lang w:val="en-US"/>
        </w:rPr>
        <w:t xml:space="preserve"> Yang, </w:t>
      </w:r>
      <w:proofErr w:type="spellStart"/>
      <w:r w:rsidRPr="00C76963">
        <w:rPr>
          <w:rFonts w:eastAsia="Calibri"/>
          <w:sz w:val="24"/>
          <w:szCs w:val="24"/>
          <w:lang w:val="en-US"/>
        </w:rPr>
        <w:t>Biyu</w:t>
      </w:r>
      <w:proofErr w:type="spellEnd"/>
      <w:r w:rsidRPr="00C76963">
        <w:rPr>
          <w:rFonts w:eastAsia="Calibri"/>
          <w:sz w:val="24"/>
          <w:szCs w:val="24"/>
          <w:lang w:val="en-US"/>
        </w:rPr>
        <w:t xml:space="preserve"> Cheng, </w:t>
      </w:r>
      <w:proofErr w:type="spellStart"/>
      <w:r w:rsidRPr="00C76963">
        <w:rPr>
          <w:rFonts w:eastAsia="Calibri"/>
          <w:sz w:val="24"/>
          <w:szCs w:val="24"/>
          <w:lang w:val="en-US"/>
        </w:rPr>
        <w:t>Yongan</w:t>
      </w:r>
      <w:proofErr w:type="spellEnd"/>
      <w:r w:rsidRPr="00C76963">
        <w:rPr>
          <w:rFonts w:eastAsia="Calibri"/>
          <w:sz w:val="24"/>
          <w:szCs w:val="24"/>
          <w:lang w:val="en-US"/>
        </w:rPr>
        <w:t xml:space="preserve"> Zhu, </w:t>
      </w:r>
      <w:proofErr w:type="spellStart"/>
      <w:r w:rsidRPr="00C76963">
        <w:rPr>
          <w:rFonts w:eastAsia="Calibri"/>
          <w:sz w:val="24"/>
          <w:szCs w:val="24"/>
          <w:lang w:val="en-US"/>
        </w:rPr>
        <w:t>Yajie</w:t>
      </w:r>
      <w:proofErr w:type="spellEnd"/>
      <w:r w:rsidRPr="00C76963">
        <w:rPr>
          <w:rFonts w:eastAsia="Calibri"/>
          <w:sz w:val="24"/>
          <w:szCs w:val="24"/>
          <w:lang w:val="en-US"/>
        </w:rPr>
        <w:t xml:space="preserve"> Li, "Compact Antenna with Frequency Reconfigurability for GPS/LTE/WWAN Mobile Handset Applications", </w:t>
      </w:r>
      <w:r w:rsidRPr="00C76963">
        <w:rPr>
          <w:rFonts w:eastAsia="Calibri"/>
          <w:i/>
          <w:iCs/>
          <w:sz w:val="24"/>
          <w:szCs w:val="24"/>
          <w:lang w:val="en-US"/>
        </w:rPr>
        <w:t xml:space="preserve">International Journal </w:t>
      </w:r>
      <w:proofErr w:type="gramStart"/>
      <w:r w:rsidRPr="00C76963">
        <w:rPr>
          <w:rFonts w:eastAsia="Calibri"/>
          <w:i/>
          <w:iCs/>
          <w:sz w:val="24"/>
          <w:szCs w:val="24"/>
          <w:lang w:val="en-US"/>
        </w:rPr>
        <w:t xml:space="preserve">of </w:t>
      </w:r>
      <w:r w:rsidR="00C76963">
        <w:rPr>
          <w:rFonts w:eastAsia="Calibri"/>
          <w:i/>
          <w:iCs/>
          <w:sz w:val="24"/>
          <w:szCs w:val="24"/>
          <w:lang w:val="en-US"/>
        </w:rPr>
        <w:t xml:space="preserve"> </w:t>
      </w:r>
      <w:r w:rsidRPr="00C76963">
        <w:rPr>
          <w:rFonts w:eastAsia="Calibri"/>
          <w:i/>
          <w:iCs/>
          <w:sz w:val="24"/>
          <w:szCs w:val="24"/>
          <w:lang w:val="en-US"/>
        </w:rPr>
        <w:t>Antennas</w:t>
      </w:r>
      <w:proofErr w:type="gramEnd"/>
      <w:r w:rsidRPr="00C76963">
        <w:rPr>
          <w:rFonts w:eastAsia="Calibri"/>
          <w:i/>
          <w:iCs/>
          <w:sz w:val="24"/>
          <w:szCs w:val="24"/>
          <w:lang w:val="en-US"/>
        </w:rPr>
        <w:t xml:space="preserve"> and Propagation</w:t>
      </w:r>
      <w:r w:rsidRPr="00C76963">
        <w:rPr>
          <w:rFonts w:eastAsia="Calibri"/>
          <w:sz w:val="24"/>
          <w:szCs w:val="24"/>
          <w:lang w:val="en-US"/>
        </w:rPr>
        <w:t>, vol. 2016</w:t>
      </w: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77D47">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EED46" w14:textId="77777777" w:rsidR="00977D47" w:rsidRDefault="00977D47">
      <w:r>
        <w:separator/>
      </w:r>
    </w:p>
  </w:endnote>
  <w:endnote w:type="continuationSeparator" w:id="0">
    <w:p w14:paraId="0642A90A" w14:textId="77777777" w:rsidR="00977D47" w:rsidRDefault="0097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E4098" w14:textId="77777777" w:rsidR="00977D47" w:rsidRDefault="00977D47">
      <w:r>
        <w:separator/>
      </w:r>
    </w:p>
  </w:footnote>
  <w:footnote w:type="continuationSeparator" w:id="0">
    <w:p w14:paraId="50989E9A" w14:textId="77777777" w:rsidR="00977D47" w:rsidRDefault="0097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39809D0"/>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E7034"/>
    <w:multiLevelType w:val="hybridMultilevel"/>
    <w:tmpl w:val="156C4D9C"/>
    <w:lvl w:ilvl="0" w:tplc="D1FC44DC">
      <w:start w:val="1"/>
      <w:numFmt w:val="upp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9315FB"/>
    <w:multiLevelType w:val="hybridMultilevel"/>
    <w:tmpl w:val="0816767E"/>
    <w:lvl w:ilvl="0" w:tplc="17A0B69C">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7"/>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8"/>
  </w:num>
  <w:num w:numId="37" w16cid:durableId="1761175372">
    <w:abstractNumId w:val="33"/>
  </w:num>
  <w:num w:numId="38" w16cid:durableId="1734547090">
    <w:abstractNumId w:val="28"/>
  </w:num>
  <w:num w:numId="39" w16cid:durableId="473446206">
    <w:abstractNumId w:val="4"/>
    <w:lvlOverride w:ilvl="0">
      <w:startOverride w:val="1"/>
    </w:lvlOverride>
  </w:num>
  <w:num w:numId="40" w16cid:durableId="2135059949">
    <w:abstractNumId w:val="9"/>
  </w:num>
  <w:num w:numId="41" w16cid:durableId="1265264572">
    <w:abstractNumId w:val="10"/>
  </w:num>
  <w:num w:numId="42" w16cid:durableId="15943161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6DCB"/>
    <w:rsid w:val="0015779C"/>
    <w:rsid w:val="00157CA4"/>
    <w:rsid w:val="00157E6A"/>
    <w:rsid w:val="00175A64"/>
    <w:rsid w:val="001763FE"/>
    <w:rsid w:val="0019035B"/>
    <w:rsid w:val="00194F01"/>
    <w:rsid w:val="00196538"/>
    <w:rsid w:val="001A4C42"/>
    <w:rsid w:val="001A5922"/>
    <w:rsid w:val="001A6F06"/>
    <w:rsid w:val="001B0CF2"/>
    <w:rsid w:val="001B3775"/>
    <w:rsid w:val="001B5F1B"/>
    <w:rsid w:val="001C21C3"/>
    <w:rsid w:val="001D02C2"/>
    <w:rsid w:val="001D68B6"/>
    <w:rsid w:val="001F0C1D"/>
    <w:rsid w:val="001F0FB3"/>
    <w:rsid w:val="001F1132"/>
    <w:rsid w:val="001F168B"/>
    <w:rsid w:val="001F2E85"/>
    <w:rsid w:val="002111AB"/>
    <w:rsid w:val="00211CB2"/>
    <w:rsid w:val="0021718E"/>
    <w:rsid w:val="00232BCD"/>
    <w:rsid w:val="002347A2"/>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72DC"/>
    <w:rsid w:val="003226C1"/>
    <w:rsid w:val="0032273E"/>
    <w:rsid w:val="00322BC6"/>
    <w:rsid w:val="00325F2B"/>
    <w:rsid w:val="00340F53"/>
    <w:rsid w:val="0035462D"/>
    <w:rsid w:val="003607D9"/>
    <w:rsid w:val="00360FE4"/>
    <w:rsid w:val="00363271"/>
    <w:rsid w:val="00375BF5"/>
    <w:rsid w:val="003765B8"/>
    <w:rsid w:val="00377E5C"/>
    <w:rsid w:val="003A0483"/>
    <w:rsid w:val="003A3C24"/>
    <w:rsid w:val="003B16F0"/>
    <w:rsid w:val="003C0739"/>
    <w:rsid w:val="003C112B"/>
    <w:rsid w:val="003C3971"/>
    <w:rsid w:val="003C42DB"/>
    <w:rsid w:val="003C7E49"/>
    <w:rsid w:val="003E3BAF"/>
    <w:rsid w:val="003E59F1"/>
    <w:rsid w:val="003E7753"/>
    <w:rsid w:val="003F0585"/>
    <w:rsid w:val="003F1781"/>
    <w:rsid w:val="0041414A"/>
    <w:rsid w:val="00420540"/>
    <w:rsid w:val="00423334"/>
    <w:rsid w:val="00424E95"/>
    <w:rsid w:val="004266F6"/>
    <w:rsid w:val="004345EC"/>
    <w:rsid w:val="00444DD5"/>
    <w:rsid w:val="00457F7D"/>
    <w:rsid w:val="00460485"/>
    <w:rsid w:val="00460A97"/>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04D93"/>
    <w:rsid w:val="00511017"/>
    <w:rsid w:val="00511525"/>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4453"/>
    <w:rsid w:val="005B5279"/>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3FAE"/>
    <w:rsid w:val="00686760"/>
    <w:rsid w:val="006937C5"/>
    <w:rsid w:val="006945DE"/>
    <w:rsid w:val="006A323F"/>
    <w:rsid w:val="006A64D8"/>
    <w:rsid w:val="006B30D0"/>
    <w:rsid w:val="006C3D95"/>
    <w:rsid w:val="006D070D"/>
    <w:rsid w:val="006D5CA7"/>
    <w:rsid w:val="006E20B1"/>
    <w:rsid w:val="006E45EB"/>
    <w:rsid w:val="006E5C86"/>
    <w:rsid w:val="006E69CA"/>
    <w:rsid w:val="006F31E0"/>
    <w:rsid w:val="007112F8"/>
    <w:rsid w:val="00713C44"/>
    <w:rsid w:val="007267D3"/>
    <w:rsid w:val="00727FD0"/>
    <w:rsid w:val="00733D9A"/>
    <w:rsid w:val="00734A5B"/>
    <w:rsid w:val="00736713"/>
    <w:rsid w:val="0074026F"/>
    <w:rsid w:val="007429F6"/>
    <w:rsid w:val="00744E76"/>
    <w:rsid w:val="007468ED"/>
    <w:rsid w:val="00752198"/>
    <w:rsid w:val="007525F7"/>
    <w:rsid w:val="00753881"/>
    <w:rsid w:val="00753DDB"/>
    <w:rsid w:val="00756BA7"/>
    <w:rsid w:val="00761361"/>
    <w:rsid w:val="007615C2"/>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77D47"/>
    <w:rsid w:val="00985AC6"/>
    <w:rsid w:val="00991009"/>
    <w:rsid w:val="00997A64"/>
    <w:rsid w:val="009A2935"/>
    <w:rsid w:val="009A4A3B"/>
    <w:rsid w:val="009C04B4"/>
    <w:rsid w:val="009D68FA"/>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4BCB"/>
    <w:rsid w:val="00B75855"/>
    <w:rsid w:val="00B819B2"/>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65694"/>
    <w:rsid w:val="00C70BC5"/>
    <w:rsid w:val="00C72833"/>
    <w:rsid w:val="00C75A22"/>
    <w:rsid w:val="00C76963"/>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3EC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AAB"/>
    <w:rsid w:val="00FD46D8"/>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09"/>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0">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B3">
    <w:name w:val="B3+"/>
    <w:basedOn w:val="B30"/>
    <w:rsid w:val="00991009"/>
    <w:pPr>
      <w:numPr>
        <w:numId w:val="40"/>
      </w:numPr>
      <w:tabs>
        <w:tab w:val="left" w:pos="1134"/>
      </w:tabs>
      <w:overflowPunct w:val="0"/>
      <w:autoSpaceDE w:val="0"/>
      <w:autoSpaceDN w:val="0"/>
      <w:adjustRightInd w:val="0"/>
      <w:textAlignment w:val="baseline"/>
    </w:pPr>
    <w:rPr>
      <w:rFonts w:eastAsia="SimSun"/>
    </w:rPr>
  </w:style>
  <w:style w:type="character" w:customStyle="1" w:styleId="TACChar">
    <w:name w:val="TAC Char"/>
    <w:link w:val="TAC"/>
    <w:qFormat/>
    <w:rsid w:val="00991009"/>
    <w:rPr>
      <w:rFonts w:ascii="Arial" w:hAnsi="Arial"/>
      <w:sz w:val="18"/>
      <w:lang w:val="en-GB"/>
    </w:rPr>
  </w:style>
  <w:style w:type="character" w:customStyle="1" w:styleId="TANChar">
    <w:name w:val="TAN Char"/>
    <w:link w:val="TAN"/>
    <w:qFormat/>
    <w:rsid w:val="0099100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464474374">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48218652">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53451391">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8</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12</cp:revision>
  <cp:lastPrinted>2019-02-25T23:05:00Z</cp:lastPrinted>
  <dcterms:created xsi:type="dcterms:W3CDTF">2024-04-08T11:10:00Z</dcterms:created>
  <dcterms:modified xsi:type="dcterms:W3CDTF">2024-04-08T22:03:00Z</dcterms:modified>
  <cp:category/>
</cp:coreProperties>
</file>